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5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90"/>
        <w:gridCol w:w="5139"/>
        <w:gridCol w:w="1041"/>
      </w:tblGrid>
      <w:tr w14:paraId="3415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80" w:type="dxa"/>
            <w:noWrap w:val="0"/>
            <w:vAlign w:val="center"/>
          </w:tcPr>
          <w:p w14:paraId="0E280207">
            <w:pPr>
              <w:pageBreakBefore w:val="0"/>
              <w:tabs>
                <w:tab w:val="left" w:pos="425"/>
              </w:tabs>
              <w:kinsoku/>
              <w:wordWrap/>
              <w:overflowPunct/>
              <w:topLinePunct w:val="0"/>
              <w:autoSpaceDE/>
              <w:autoSpaceDN/>
              <w:bidi w:val="0"/>
              <w:spacing w:line="360" w:lineRule="auto"/>
              <w:jc w:val="center"/>
              <w:rPr>
                <w:rFonts w:hint="eastAsia" w:ascii="宋体" w:hAnsi="宋体" w:eastAsia="宋体" w:cs="宋体"/>
                <w:b/>
                <w:bCs w:val="0"/>
                <w:color w:val="auto"/>
                <w:sz w:val="21"/>
                <w:szCs w:val="21"/>
                <w:highlight w:val="none"/>
                <w:lang w:eastAsia="zh-CN"/>
              </w:rPr>
            </w:pPr>
            <w:bookmarkStart w:id="0" w:name="_GoBack"/>
            <w:bookmarkEnd w:id="0"/>
            <w:r>
              <w:rPr>
                <w:rFonts w:hint="eastAsia" w:ascii="宋体" w:hAnsi="宋体" w:eastAsia="宋体" w:cs="宋体"/>
                <w:b/>
                <w:bCs w:val="0"/>
                <w:color w:val="auto"/>
                <w:sz w:val="21"/>
                <w:szCs w:val="21"/>
                <w:highlight w:val="none"/>
                <w:lang w:eastAsia="zh-CN"/>
              </w:rPr>
              <w:t>评审项目</w:t>
            </w:r>
          </w:p>
        </w:tc>
        <w:tc>
          <w:tcPr>
            <w:tcW w:w="1590" w:type="dxa"/>
            <w:noWrap w:val="0"/>
            <w:vAlign w:val="center"/>
          </w:tcPr>
          <w:p w14:paraId="51636632">
            <w:pPr>
              <w:pageBreakBefore w:val="0"/>
              <w:tabs>
                <w:tab w:val="left" w:pos="425"/>
              </w:tabs>
              <w:kinsoku/>
              <w:wordWrap/>
              <w:overflowPunct/>
              <w:topLinePunct w:val="0"/>
              <w:autoSpaceDE/>
              <w:autoSpaceDN/>
              <w:bidi w:val="0"/>
              <w:spacing w:line="36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评审因素</w:t>
            </w:r>
          </w:p>
        </w:tc>
        <w:tc>
          <w:tcPr>
            <w:tcW w:w="5139" w:type="dxa"/>
            <w:noWrap w:val="0"/>
            <w:vAlign w:val="center"/>
          </w:tcPr>
          <w:p w14:paraId="6B2266EC">
            <w:pPr>
              <w:pageBreakBefore w:val="0"/>
              <w:tabs>
                <w:tab w:val="left" w:pos="425"/>
              </w:tabs>
              <w:kinsoku/>
              <w:wordWrap/>
              <w:overflowPunct/>
              <w:topLinePunct w:val="0"/>
              <w:autoSpaceDE/>
              <w:autoSpaceDN/>
              <w:bidi w:val="0"/>
              <w:spacing w:line="36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评审标准</w:t>
            </w:r>
          </w:p>
        </w:tc>
        <w:tc>
          <w:tcPr>
            <w:tcW w:w="1041" w:type="dxa"/>
            <w:noWrap w:val="0"/>
            <w:vAlign w:val="center"/>
          </w:tcPr>
          <w:p w14:paraId="08EE9FBC">
            <w:pPr>
              <w:keepNext w:val="0"/>
              <w:keepLines w:val="0"/>
              <w:pageBreakBefore w:val="0"/>
              <w:widowControl w:val="0"/>
              <w:tabs>
                <w:tab w:val="left" w:pos="425"/>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分值</w:t>
            </w:r>
          </w:p>
        </w:tc>
      </w:tr>
      <w:tr w14:paraId="5860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0"/>
            <w:vAlign w:val="center"/>
          </w:tcPr>
          <w:p w14:paraId="61BD7B58">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报价部分</w:t>
            </w:r>
          </w:p>
          <w:p w14:paraId="7E7754AB">
            <w:pPr>
              <w:widowControl w:val="0"/>
              <w:snapToGrid w:val="0"/>
              <w:spacing w:after="120" w:line="240" w:lineRule="auto"/>
              <w:ind w:left="0" w:leftChars="0" w:firstLine="0" w:firstLineChars="0"/>
              <w:jc w:val="both"/>
              <w:rPr>
                <w:rFonts w:hint="default" w:ascii="仿宋_GB2312" w:hAnsi="Times New Roman" w:eastAsia="仿宋_GB2312" w:cs="Times New Roman"/>
                <w:bCs/>
                <w:kern w:val="2"/>
                <w:sz w:val="21"/>
                <w:szCs w:val="21"/>
                <w:highlight w:val="none"/>
                <w:lang w:val="en-US" w:eastAsia="zh-CN" w:bidi="ar-SA"/>
              </w:rPr>
            </w:pPr>
            <w:r>
              <w:rPr>
                <w:rFonts w:hint="eastAsia" w:ascii="Times New Roman" w:hAnsi="Times New Roman" w:eastAsia="宋体" w:cs="Times New Roman"/>
                <w:b/>
                <w:bCs/>
                <w:kern w:val="2"/>
                <w:sz w:val="21"/>
                <w:szCs w:val="24"/>
                <w:highlight w:val="none"/>
                <w:lang w:val="en-US" w:eastAsia="zh-CN" w:bidi="ar-SA"/>
              </w:rPr>
              <w:t>（10分）</w:t>
            </w:r>
          </w:p>
        </w:tc>
        <w:tc>
          <w:tcPr>
            <w:tcW w:w="1590" w:type="dxa"/>
            <w:noWrap w:val="0"/>
            <w:vAlign w:val="center"/>
          </w:tcPr>
          <w:p w14:paraId="0ACA4352">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投标报价</w:t>
            </w:r>
          </w:p>
        </w:tc>
        <w:tc>
          <w:tcPr>
            <w:tcW w:w="5139" w:type="dxa"/>
            <w:noWrap w:val="0"/>
            <w:vAlign w:val="top"/>
          </w:tcPr>
          <w:p w14:paraId="222AD62E">
            <w:pPr>
              <w:pageBreakBefore w:val="0"/>
              <w:wordWrap/>
              <w:topLinePunct w:val="0"/>
              <w:bidi w:val="0"/>
              <w:adjustRightInd w:val="0"/>
              <w:snapToGrid w:val="0"/>
              <w:spacing w:line="360" w:lineRule="auto"/>
              <w:textAlignment w:val="auto"/>
              <w:outlineLvl w:val="1"/>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评分法，价格分统一采用低价优先法计算，即满足采购文件要求（通过资格审查和符合性审查）且评标价(指修正及价格扣除后的价格，下同)最低的为评标基准价，其价格分为满分。其他投标人的价格分统一按照下列公式计算：</w:t>
            </w:r>
          </w:p>
          <w:p w14:paraId="1CE5E9A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rPr>
              <w:t>价格评分=（评标基准价／评标价）×价格分值</w:t>
            </w:r>
          </w:p>
        </w:tc>
        <w:tc>
          <w:tcPr>
            <w:tcW w:w="1041" w:type="dxa"/>
            <w:noWrap w:val="0"/>
            <w:vAlign w:val="center"/>
          </w:tcPr>
          <w:p w14:paraId="39ACBBBD">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w:t>
            </w:r>
          </w:p>
        </w:tc>
      </w:tr>
      <w:tr w14:paraId="11A6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80" w:type="dxa"/>
            <w:vMerge w:val="restart"/>
            <w:noWrap w:val="0"/>
            <w:vAlign w:val="center"/>
          </w:tcPr>
          <w:p w14:paraId="792417F7">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highlight w:val="none"/>
                <w:lang w:val="en-US" w:eastAsia="zh-CN"/>
              </w:rPr>
            </w:pPr>
          </w:p>
          <w:p w14:paraId="03337048">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highlight w:val="none"/>
                <w:lang w:val="en-US" w:eastAsia="zh-CN"/>
              </w:rPr>
            </w:pPr>
          </w:p>
          <w:p w14:paraId="43FA5120">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36D115B5">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7F4E94A7">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081E5E22">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100BCF03">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79DFF716">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49597265">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2C8D252E">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24BED500">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66A9F19D">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7ED6B62F">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707192E3">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1B7797D4">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p>
          <w:p w14:paraId="070EC363">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商务部分</w:t>
            </w:r>
          </w:p>
          <w:p w14:paraId="521E1302">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（4</w:t>
            </w:r>
            <w:r>
              <w:rPr>
                <w:rFonts w:hint="eastAsia" w:cs="Times New Roman"/>
                <w:b/>
                <w:bCs/>
                <w:highlight w:val="none"/>
                <w:lang w:val="en-US" w:eastAsia="zh-CN"/>
              </w:rPr>
              <w:t>2</w:t>
            </w:r>
            <w:r>
              <w:rPr>
                <w:rFonts w:hint="eastAsia" w:ascii="Times New Roman" w:hAnsi="Times New Roman" w:eastAsia="宋体" w:cs="Times New Roman"/>
                <w:b/>
                <w:bCs/>
                <w:highlight w:val="none"/>
                <w:lang w:val="en-US" w:eastAsia="zh-CN"/>
              </w:rPr>
              <w:t>分）</w:t>
            </w:r>
          </w:p>
        </w:tc>
        <w:tc>
          <w:tcPr>
            <w:tcW w:w="1590" w:type="dxa"/>
            <w:noWrap w:val="0"/>
            <w:vAlign w:val="center"/>
          </w:tcPr>
          <w:p w14:paraId="311A45F6">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p>
          <w:p w14:paraId="2831AB60">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1.综合实力</w:t>
            </w:r>
          </w:p>
          <w:p w14:paraId="4A4ED90E">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5139" w:type="dxa"/>
            <w:noWrap w:val="0"/>
            <w:vAlign w:val="top"/>
          </w:tcPr>
          <w:p w14:paraId="7CE6E1D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①投标人具有GB/T19001/ISO9001系列质量管理体系认证、GB/T24001/ISO14001环境管理体系认证、GB/T45001/ISO45001职业健康安全管理体系认证</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ISO20000信息技术服务管理体系认证证书</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每有一个得1分，共</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p w14:paraId="73692B6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②投标人具有GB/T22080-2016/ISO/IEC27001信息安全管理体系认证证书得2分，不提供不得分。</w:t>
            </w:r>
          </w:p>
          <w:p w14:paraId="53C4577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注：提供有效期内的认证证书复印件并加盖投标人公章，不提供不得分。</w:t>
            </w:r>
          </w:p>
        </w:tc>
        <w:tc>
          <w:tcPr>
            <w:tcW w:w="1041" w:type="dxa"/>
            <w:noWrap w:val="0"/>
            <w:vAlign w:val="center"/>
          </w:tcPr>
          <w:p w14:paraId="0F62FD4B">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r>
      <w:tr w14:paraId="49D5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80" w:type="dxa"/>
            <w:vMerge w:val="continue"/>
            <w:noWrap w:val="0"/>
            <w:vAlign w:val="center"/>
          </w:tcPr>
          <w:p w14:paraId="6BDAF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vMerge w:val="restart"/>
            <w:noWrap w:val="0"/>
            <w:vAlign w:val="center"/>
          </w:tcPr>
          <w:p w14:paraId="07A250AA">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2.同类业绩</w:t>
            </w:r>
          </w:p>
          <w:p w14:paraId="025465EA">
            <w:pPr>
              <w:widowControl w:val="0"/>
              <w:snapToGrid w:val="0"/>
              <w:spacing w:after="120" w:line="240" w:lineRule="auto"/>
              <w:ind w:left="0" w:leftChars="0" w:firstLine="420" w:firstLineChars="200"/>
              <w:jc w:val="both"/>
              <w:rPr>
                <w:rFonts w:hint="eastAsia" w:ascii="仿宋_GB2312" w:hAnsi="Times New Roman" w:eastAsia="仿宋_GB2312" w:cs="Times New Roman"/>
                <w:bCs/>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9</w:t>
            </w:r>
            <w:r>
              <w:rPr>
                <w:rFonts w:hint="eastAsia" w:ascii="宋体" w:hAnsi="宋体" w:eastAsia="宋体" w:cs="宋体"/>
                <w:b w:val="0"/>
                <w:bCs/>
                <w:color w:val="auto"/>
                <w:kern w:val="2"/>
                <w:sz w:val="21"/>
                <w:szCs w:val="21"/>
                <w:highlight w:val="none"/>
                <w:lang w:val="en-US" w:eastAsia="zh-CN" w:bidi="ar-SA"/>
              </w:rPr>
              <w:t>分）</w:t>
            </w:r>
          </w:p>
        </w:tc>
        <w:tc>
          <w:tcPr>
            <w:tcW w:w="5139" w:type="dxa"/>
            <w:noWrap w:val="0"/>
            <w:vAlign w:val="top"/>
          </w:tcPr>
          <w:p w14:paraId="30EF7685">
            <w:pPr>
              <w:pageBreakBefore w:val="0"/>
              <w:numPr>
                <w:ilvl w:val="0"/>
                <w:numId w:val="0"/>
              </w:numPr>
              <w:tabs>
                <w:tab w:val="left" w:pos="425"/>
              </w:tabs>
              <w:kinsoku/>
              <w:wordWrap/>
              <w:overflowPunct/>
              <w:topLinePunct w:val="0"/>
              <w:autoSpaceDE/>
              <w:autoSpaceDN/>
              <w:bidi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投标人正在服务或服务过的项目具有政务服务外包实施经验的，每有一个得</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分，最高得6分。（提供服务合同复印件并加盖</w:t>
            </w:r>
            <w:r>
              <w:rPr>
                <w:rFonts w:hint="eastAsia" w:ascii="宋体" w:hAnsi="宋体" w:eastAsia="宋体" w:cs="宋体"/>
                <w:b w:val="0"/>
                <w:bCs/>
                <w:color w:val="auto"/>
                <w:sz w:val="21"/>
                <w:szCs w:val="21"/>
                <w:highlight w:val="none"/>
                <w:lang w:val="en-US" w:eastAsia="zh-CN"/>
              </w:rPr>
              <w:t>投标人</w:t>
            </w:r>
            <w:r>
              <w:rPr>
                <w:rFonts w:hint="eastAsia" w:ascii="Times New Roman" w:hAnsi="Times New Roman" w:eastAsia="宋体" w:cs="Times New Roman"/>
                <w:color w:val="auto"/>
                <w:highlight w:val="none"/>
                <w:lang w:val="en-US" w:eastAsia="zh-CN"/>
              </w:rPr>
              <w:t>公章）</w:t>
            </w:r>
          </w:p>
        </w:tc>
        <w:tc>
          <w:tcPr>
            <w:tcW w:w="1041" w:type="dxa"/>
            <w:noWrap w:val="0"/>
            <w:vAlign w:val="center"/>
          </w:tcPr>
          <w:p w14:paraId="344472A5">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r>
      <w:tr w14:paraId="64B4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80" w:type="dxa"/>
            <w:vMerge w:val="continue"/>
            <w:noWrap w:val="0"/>
            <w:vAlign w:val="center"/>
          </w:tcPr>
          <w:p w14:paraId="3B84FC9A">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color w:val="auto"/>
                <w:sz w:val="21"/>
                <w:szCs w:val="21"/>
                <w:highlight w:val="none"/>
                <w:lang w:val="en-US" w:eastAsia="zh-CN"/>
              </w:rPr>
            </w:pPr>
          </w:p>
        </w:tc>
        <w:tc>
          <w:tcPr>
            <w:tcW w:w="1590" w:type="dxa"/>
            <w:vMerge w:val="continue"/>
            <w:noWrap w:val="0"/>
            <w:vAlign w:val="center"/>
          </w:tcPr>
          <w:p w14:paraId="10B9DF21">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p>
        </w:tc>
        <w:tc>
          <w:tcPr>
            <w:tcW w:w="5139" w:type="dxa"/>
            <w:noWrap w:val="0"/>
            <w:vAlign w:val="top"/>
          </w:tcPr>
          <w:p w14:paraId="5886BB01">
            <w:pPr>
              <w:pageBreakBefore w:val="0"/>
              <w:numPr>
                <w:ilvl w:val="0"/>
                <w:numId w:val="0"/>
              </w:numPr>
              <w:tabs>
                <w:tab w:val="left" w:pos="425"/>
              </w:tabs>
              <w:kinsoku/>
              <w:wordWrap/>
              <w:overflowPunct/>
              <w:topLinePunct w:val="0"/>
              <w:autoSpaceDE/>
              <w:autoSpaceDN/>
              <w:bidi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根据上述服务经验，投标人得到采购人书面好评或积极正面的意见反馈，每提供一份得</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分，最高得</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分。</w:t>
            </w:r>
          </w:p>
          <w:p w14:paraId="61208FF8">
            <w:pPr>
              <w:pageBreakBefore w:val="0"/>
              <w:numPr>
                <w:ilvl w:val="0"/>
                <w:numId w:val="0"/>
              </w:numPr>
              <w:tabs>
                <w:tab w:val="left" w:pos="425"/>
              </w:tabs>
              <w:kinsoku/>
              <w:wordWrap/>
              <w:overflowPunct/>
              <w:topLinePunct w:val="0"/>
              <w:autoSpaceDE/>
              <w:autoSpaceDN/>
              <w:bidi w:val="0"/>
              <w:spacing w:line="360" w:lineRule="auto"/>
              <w:rPr>
                <w:rFonts w:hint="default" w:ascii="仿宋_GB2312" w:hAnsi="Times New Roman" w:eastAsia="仿宋_GB2312" w:cs="Times New Roman"/>
                <w:bCs/>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（提供盖有采购人公章的反馈意见清晰复印件并加盖投标人公章）</w:t>
            </w:r>
          </w:p>
        </w:tc>
        <w:tc>
          <w:tcPr>
            <w:tcW w:w="1041" w:type="dxa"/>
            <w:noWrap w:val="0"/>
            <w:vAlign w:val="center"/>
          </w:tcPr>
          <w:p w14:paraId="03BC4C03">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p>
        </w:tc>
      </w:tr>
      <w:tr w14:paraId="692D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080" w:type="dxa"/>
            <w:vMerge w:val="continue"/>
            <w:noWrap w:val="0"/>
            <w:vAlign w:val="center"/>
          </w:tcPr>
          <w:p w14:paraId="4EB6B400">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6D2DD196">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p>
          <w:p w14:paraId="467D76FC">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3.企业荣誉</w:t>
            </w:r>
          </w:p>
          <w:p w14:paraId="5EFBE480">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p>
        </w:tc>
        <w:tc>
          <w:tcPr>
            <w:tcW w:w="5139" w:type="dxa"/>
            <w:noWrap w:val="0"/>
            <w:vAlign w:val="top"/>
          </w:tcPr>
          <w:p w14:paraId="3EAD0820">
            <w:pPr>
              <w:pageBreakBefore w:val="0"/>
              <w:numPr>
                <w:ilvl w:val="0"/>
                <w:numId w:val="0"/>
              </w:numPr>
              <w:tabs>
                <w:tab w:val="left" w:pos="425"/>
              </w:tabs>
              <w:kinsoku/>
              <w:wordWrap/>
              <w:overflowPunct/>
              <w:topLinePunct w:val="0"/>
              <w:autoSpaceDE/>
              <w:autoSpaceDN/>
              <w:bidi w:val="0"/>
              <w:spacing w:line="360" w:lineRule="auto"/>
              <w:rPr>
                <w:rFonts w:hint="eastAsia" w:ascii="宋体" w:hAnsi="宋体" w:eastAsia="宋体" w:cs="宋体"/>
                <w:b w:val="0"/>
                <w:bCs/>
                <w:color w:val="auto"/>
                <w:sz w:val="21"/>
                <w:szCs w:val="21"/>
                <w:highlight w:val="none"/>
                <w:lang w:val="en-US" w:eastAsia="zh-CN"/>
              </w:rPr>
            </w:pPr>
            <w:r>
              <w:rPr>
                <w:rFonts w:hint="eastAsia" w:ascii="Times New Roman" w:hAnsi="Times New Roman" w:eastAsia="宋体" w:cs="Times New Roman"/>
                <w:color w:val="auto"/>
                <w:highlight w:val="none"/>
                <w:lang w:val="en-US" w:eastAsia="zh-CN"/>
              </w:rPr>
              <w:t>①</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年1月1日</w:t>
            </w:r>
            <w:r>
              <w:rPr>
                <w:rFonts w:hint="eastAsia" w:ascii="宋体" w:hAnsi="宋体" w:cs="宋体"/>
                <w:b w:val="0"/>
                <w:bCs/>
                <w:color w:val="auto"/>
                <w:sz w:val="21"/>
                <w:szCs w:val="21"/>
                <w:highlight w:val="none"/>
                <w:lang w:val="en-US" w:eastAsia="zh-CN"/>
              </w:rPr>
              <w:t>以来，</w:t>
            </w:r>
            <w:r>
              <w:rPr>
                <w:rFonts w:hint="eastAsia" w:ascii="Times New Roman" w:hAnsi="Times New Roman" w:eastAsia="宋体" w:cs="Times New Roman"/>
                <w:color w:val="auto"/>
                <w:highlight w:val="none"/>
                <w:lang w:val="en-US" w:eastAsia="zh-CN"/>
              </w:rPr>
              <w:t>投标人正在服务或服务过的</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获得</w:t>
            </w:r>
            <w:r>
              <w:rPr>
                <w:rFonts w:hint="eastAsia" w:cs="Times New Roman"/>
                <w:color w:val="auto"/>
                <w:highlight w:val="none"/>
                <w:lang w:val="en-US" w:eastAsia="zh-CN"/>
              </w:rPr>
              <w:t>过省级服务技能竞赛</w:t>
            </w:r>
            <w:r>
              <w:rPr>
                <w:rFonts w:hint="eastAsia" w:ascii="Times New Roman" w:hAnsi="Times New Roman" w:eastAsia="宋体" w:cs="Times New Roman"/>
                <w:color w:val="auto"/>
                <w:highlight w:val="none"/>
                <w:lang w:val="en-US" w:eastAsia="zh-CN"/>
              </w:rPr>
              <w:t>荣誉的</w:t>
            </w:r>
            <w:r>
              <w:rPr>
                <w:rFonts w:hint="eastAsia" w:cs="Times New Roman"/>
                <w:color w:val="auto"/>
                <w:highlight w:val="none"/>
                <w:lang w:val="en-US" w:eastAsia="zh-CN"/>
              </w:rPr>
              <w:t>，获得团体第一名的得3分，团体第二名得2分，团体第三名得1分。多项荣誉叠加，以最高名次得分计算，</w:t>
            </w:r>
            <w:r>
              <w:rPr>
                <w:rFonts w:hint="eastAsia" w:ascii="Times New Roman" w:hAnsi="Times New Roman" w:eastAsia="宋体" w:cs="Times New Roman"/>
                <w:color w:val="auto"/>
                <w:highlight w:val="none"/>
                <w:lang w:val="en-US" w:eastAsia="zh-CN"/>
              </w:rPr>
              <w:t>最高得</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分</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（提供</w:t>
            </w:r>
            <w:r>
              <w:rPr>
                <w:rFonts w:hint="eastAsia" w:cs="Times New Roman"/>
                <w:color w:val="auto"/>
                <w:highlight w:val="none"/>
                <w:lang w:val="en-US" w:eastAsia="zh-CN"/>
              </w:rPr>
              <w:t>获奖证书和牌匾的照片或复印件，加</w:t>
            </w:r>
            <w:r>
              <w:rPr>
                <w:rFonts w:hint="eastAsia" w:ascii="Times New Roman" w:hAnsi="Times New Roman" w:eastAsia="宋体" w:cs="Times New Roman"/>
                <w:color w:val="auto"/>
                <w:highlight w:val="none"/>
                <w:lang w:val="en-US" w:eastAsia="zh-CN"/>
              </w:rPr>
              <w:t>盖有采购人公章</w:t>
            </w:r>
            <w:r>
              <w:rPr>
                <w:rFonts w:hint="eastAsia" w:cs="Times New Roman"/>
                <w:color w:val="auto"/>
                <w:highlight w:val="none"/>
                <w:lang w:val="en-US" w:eastAsia="zh-CN"/>
              </w:rPr>
              <w:t>和</w:t>
            </w:r>
            <w:r>
              <w:rPr>
                <w:rFonts w:hint="eastAsia" w:ascii="Times New Roman" w:hAnsi="Times New Roman" w:eastAsia="宋体" w:cs="Times New Roman"/>
                <w:color w:val="auto"/>
                <w:highlight w:val="none"/>
                <w:lang w:val="en-US" w:eastAsia="zh-CN"/>
              </w:rPr>
              <w:t>投标人公章）</w:t>
            </w:r>
          </w:p>
        </w:tc>
        <w:tc>
          <w:tcPr>
            <w:tcW w:w="1041" w:type="dxa"/>
            <w:noWrap w:val="0"/>
            <w:vAlign w:val="center"/>
          </w:tcPr>
          <w:p w14:paraId="020E8765">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p>
        </w:tc>
      </w:tr>
      <w:tr w14:paraId="3600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75A92B89">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7CD84890">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cs="宋体"/>
                <w:b w:val="0"/>
                <w:bCs/>
                <w:color w:val="auto"/>
                <w:sz w:val="21"/>
                <w:szCs w:val="21"/>
                <w:highlight w:val="none"/>
                <w:lang w:val="en-US" w:eastAsia="zh-CN"/>
              </w:rPr>
            </w:pPr>
          </w:p>
          <w:p w14:paraId="2B995E13">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cs="宋体"/>
                <w:b w:val="0"/>
                <w:bCs/>
                <w:color w:val="auto"/>
                <w:sz w:val="21"/>
                <w:szCs w:val="21"/>
                <w:highlight w:val="none"/>
                <w:lang w:val="en-US" w:eastAsia="zh-CN"/>
              </w:rPr>
            </w:pPr>
          </w:p>
          <w:p w14:paraId="20B267A0">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仿宋_GB2312"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.企业信誉</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tc>
        <w:tc>
          <w:tcPr>
            <w:tcW w:w="5139" w:type="dxa"/>
            <w:noWrap w:val="0"/>
            <w:vAlign w:val="top"/>
          </w:tcPr>
          <w:p w14:paraId="5EE8DDAB">
            <w:pPr>
              <w:pageBreakBefore w:val="0"/>
              <w:numPr>
                <w:ilvl w:val="0"/>
                <w:numId w:val="0"/>
              </w:numPr>
              <w:tabs>
                <w:tab w:val="left" w:pos="425"/>
              </w:tabs>
              <w:kinsoku/>
              <w:wordWrap/>
              <w:overflowPunct/>
              <w:topLinePunct w:val="0"/>
              <w:autoSpaceDE/>
              <w:autoSpaceDN/>
              <w:bidi w:val="0"/>
              <w:spacing w:line="360" w:lineRule="auto"/>
              <w:rPr>
                <w:rFonts w:hint="eastAsia" w:ascii="宋体" w:hAnsi="宋体" w:eastAsia="宋体" w:cs="宋体"/>
                <w:b w:val="0"/>
                <w:bCs/>
                <w:color w:val="auto"/>
                <w:sz w:val="21"/>
                <w:szCs w:val="21"/>
                <w:highlight w:val="none"/>
                <w:lang w:val="en-US" w:eastAsia="zh-CN"/>
              </w:rPr>
            </w:pPr>
            <w:r>
              <w:rPr>
                <w:rFonts w:hint="eastAsia"/>
                <w:highlight w:val="none"/>
                <w:lang w:val="en-US" w:eastAsia="zh-CN"/>
              </w:rPr>
              <w:t>①</w:t>
            </w:r>
            <w:r>
              <w:rPr>
                <w:rFonts w:hint="eastAsia" w:ascii="宋体" w:hAnsi="宋体" w:eastAsia="宋体" w:cs="宋体"/>
                <w:b w:val="0"/>
                <w:bCs/>
                <w:color w:val="auto"/>
                <w:sz w:val="21"/>
                <w:szCs w:val="21"/>
                <w:highlight w:val="none"/>
                <w:lang w:val="en-US" w:eastAsia="zh-CN"/>
              </w:rPr>
              <w:t>投标人自 202</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年1月1日以来在服务活动中，未发生违反项目合同、服务承诺等违约问题</w:t>
            </w:r>
            <w:r>
              <w:rPr>
                <w:rFonts w:hint="eastAsia" w:ascii="宋体" w:hAnsi="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lang w:val="en-US" w:eastAsia="zh-CN"/>
              </w:rPr>
              <w:t>未发生侵犯服务对象合法权益或致使服务对象财产遭受损失的问题，得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 xml:space="preserve">分； </w:t>
            </w:r>
          </w:p>
          <w:p w14:paraId="2F0DC386">
            <w:pPr>
              <w:pageBreakBefore w:val="0"/>
              <w:numPr>
                <w:ilvl w:val="0"/>
                <w:numId w:val="0"/>
              </w:numPr>
              <w:tabs>
                <w:tab w:val="left" w:pos="425"/>
              </w:tabs>
              <w:kinsoku/>
              <w:wordWrap/>
              <w:overflowPunct/>
              <w:topLinePunct w:val="0"/>
              <w:autoSpaceDE/>
              <w:autoSpaceDN/>
              <w:bidi w:val="0"/>
              <w:spacing w:line="360" w:lineRule="auto"/>
              <w:rPr>
                <w:rFonts w:hint="eastAsia" w:ascii="宋体" w:hAnsi="宋体" w:eastAsia="宋体" w:cs="宋体"/>
                <w:b w:val="0"/>
                <w:bCs/>
                <w:color w:val="auto"/>
                <w:sz w:val="21"/>
                <w:szCs w:val="21"/>
                <w:highlight w:val="none"/>
                <w:lang w:val="en-US" w:eastAsia="zh-CN"/>
              </w:rPr>
            </w:pPr>
            <w:r>
              <w:rPr>
                <w:rFonts w:hint="eastAsia"/>
                <w:highlight w:val="none"/>
                <w:lang w:val="en-US" w:eastAsia="zh-CN"/>
              </w:rPr>
              <w:t>②</w:t>
            </w:r>
            <w:r>
              <w:rPr>
                <w:rFonts w:hint="eastAsia" w:ascii="宋体" w:hAnsi="宋体" w:eastAsia="宋体" w:cs="宋体"/>
                <w:b w:val="0"/>
                <w:bCs/>
                <w:color w:val="auto"/>
                <w:sz w:val="21"/>
                <w:szCs w:val="21"/>
                <w:highlight w:val="none"/>
                <w:lang w:val="en-US" w:eastAsia="zh-CN"/>
              </w:rPr>
              <w:t>投标人自202</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年1月 1日以来在服务活动中，未发生违规或违法问题，得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 证明材料：提供承诺函并加盖</w:t>
            </w:r>
            <w:r>
              <w:rPr>
                <w:rFonts w:hint="eastAsia" w:ascii="宋体" w:hAnsi="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lang w:val="en-US" w:eastAsia="zh-CN"/>
              </w:rPr>
              <w:t>公章，承诺函格式自拟，未提供不得分。</w:t>
            </w:r>
          </w:p>
          <w:p w14:paraId="4A18F57A">
            <w:pPr>
              <w:pageBreakBefore w:val="0"/>
              <w:numPr>
                <w:ilvl w:val="0"/>
                <w:numId w:val="0"/>
              </w:numPr>
              <w:tabs>
                <w:tab w:val="left" w:pos="425"/>
              </w:tabs>
              <w:kinsoku/>
              <w:wordWrap/>
              <w:overflowPunct/>
              <w:topLinePunct w:val="0"/>
              <w:autoSpaceDE/>
              <w:autoSpaceDN/>
              <w:bidi w:val="0"/>
              <w:spacing w:line="360" w:lineRule="auto"/>
              <w:rPr>
                <w:rFonts w:hint="eastAsia" w:cs="Times New Roman"/>
                <w:color w:val="auto"/>
                <w:highlight w:val="none"/>
                <w:lang w:val="en-US" w:eastAsia="zh-CN"/>
              </w:rPr>
            </w:pPr>
            <w:r>
              <w:rPr>
                <w:rFonts w:hint="eastAsia"/>
                <w:highlight w:val="none"/>
                <w:lang w:val="en-US" w:eastAsia="zh-CN"/>
              </w:rPr>
              <w:t>③</w:t>
            </w:r>
            <w:r>
              <w:rPr>
                <w:rFonts w:hint="eastAsia" w:ascii="宋体" w:hAnsi="宋体" w:eastAsia="宋体" w:cs="宋体"/>
                <w:b w:val="0"/>
                <w:bCs/>
                <w:color w:val="auto"/>
                <w:sz w:val="21"/>
                <w:szCs w:val="21"/>
                <w:highlight w:val="none"/>
                <w:lang w:val="en-US" w:eastAsia="zh-CN"/>
              </w:rPr>
              <w:t>成立未满3年的供应商自成立之日起</w:t>
            </w:r>
            <w:r>
              <w:rPr>
                <w:rFonts w:hint="eastAsia" w:ascii="宋体" w:hAnsi="宋体" w:cs="宋体"/>
                <w:b w:val="0"/>
                <w:bCs/>
                <w:color w:val="auto"/>
                <w:sz w:val="21"/>
                <w:szCs w:val="21"/>
                <w:highlight w:val="none"/>
                <w:lang w:val="en-US" w:eastAsia="zh-CN"/>
              </w:rPr>
              <w:t>计</w:t>
            </w:r>
            <w:r>
              <w:rPr>
                <w:rFonts w:hint="eastAsia" w:ascii="宋体" w:hAnsi="宋体" w:eastAsia="宋体" w:cs="宋体"/>
                <w:b w:val="0"/>
                <w:bCs/>
                <w:color w:val="auto"/>
                <w:sz w:val="21"/>
                <w:szCs w:val="21"/>
                <w:highlight w:val="none"/>
                <w:lang w:val="en-US" w:eastAsia="zh-CN"/>
              </w:rPr>
              <w:t>算。</w:t>
            </w:r>
          </w:p>
        </w:tc>
        <w:tc>
          <w:tcPr>
            <w:tcW w:w="1041" w:type="dxa"/>
            <w:noWrap w:val="0"/>
            <w:vAlign w:val="center"/>
          </w:tcPr>
          <w:p w14:paraId="412602B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cs="宋体"/>
                <w:b w:val="0"/>
                <w:bCs/>
                <w:color w:val="auto"/>
                <w:sz w:val="21"/>
                <w:szCs w:val="21"/>
                <w:highlight w:val="none"/>
                <w:lang w:val="en-US" w:eastAsia="zh-CN"/>
              </w:rPr>
            </w:pPr>
          </w:p>
          <w:p w14:paraId="6072223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cs="宋体"/>
                <w:b w:val="0"/>
                <w:bCs/>
                <w:color w:val="auto"/>
                <w:sz w:val="21"/>
                <w:szCs w:val="21"/>
                <w:highlight w:val="none"/>
                <w:lang w:val="en-US" w:eastAsia="zh-CN"/>
              </w:rPr>
            </w:pPr>
          </w:p>
          <w:p w14:paraId="55806DF4">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cs="宋体"/>
                <w:b w:val="0"/>
                <w:bCs/>
                <w:color w:val="auto"/>
                <w:sz w:val="21"/>
                <w:szCs w:val="21"/>
                <w:highlight w:val="none"/>
                <w:lang w:val="en-US" w:eastAsia="zh-CN"/>
              </w:rPr>
            </w:pPr>
          </w:p>
          <w:p w14:paraId="5DA0B82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4分</w:t>
            </w:r>
          </w:p>
        </w:tc>
      </w:tr>
      <w:tr w14:paraId="70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5767F6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60C839A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4.项目管理</w:t>
            </w:r>
          </w:p>
          <w:p w14:paraId="0CEBC82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人员资质</w:t>
            </w:r>
          </w:p>
          <w:p w14:paraId="31A57DDD">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10</w:t>
            </w:r>
            <w:r>
              <w:rPr>
                <w:rFonts w:hint="eastAsia" w:ascii="宋体" w:hAnsi="宋体" w:eastAsia="宋体" w:cs="宋体"/>
                <w:b w:val="0"/>
                <w:bCs/>
                <w:color w:val="auto"/>
                <w:kern w:val="2"/>
                <w:sz w:val="21"/>
                <w:szCs w:val="21"/>
                <w:highlight w:val="none"/>
                <w:lang w:val="en-US" w:eastAsia="zh-CN" w:bidi="ar-SA"/>
              </w:rPr>
              <w:t>分）</w:t>
            </w:r>
          </w:p>
        </w:tc>
        <w:tc>
          <w:tcPr>
            <w:tcW w:w="5139" w:type="dxa"/>
            <w:noWrap w:val="0"/>
            <w:vAlign w:val="top"/>
          </w:tcPr>
          <w:p w14:paraId="23576D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highlight w:val="none"/>
                <w:lang w:val="en-US" w:eastAsia="zh-CN"/>
              </w:rPr>
            </w:pPr>
            <w:r>
              <w:rPr>
                <w:rFonts w:hint="eastAsia"/>
                <w:highlight w:val="none"/>
                <w:lang w:val="en-US" w:eastAsia="zh-CN"/>
              </w:rPr>
              <w:t>①拟投入项目管理人员：具有大学本科及以上学历且持有人力资源和社会保障部门颁发的二级企业人力资源管理师证书的得0.5分；具有大学本科及以上学历且持有一级企业人力资源管理师证书的得1分（同时持有二级和一级证书的，最多得1分）。本项最高得3分。（提供证书复印件并加盖投标人公章）。</w:t>
            </w:r>
          </w:p>
          <w:p w14:paraId="5C4730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highlight w:val="none"/>
                <w:lang w:val="en-US" w:eastAsia="zh-CN"/>
              </w:rPr>
            </w:pPr>
            <w:r>
              <w:rPr>
                <w:rFonts w:hint="eastAsia"/>
                <w:highlight w:val="none"/>
                <w:lang w:val="en-US" w:eastAsia="zh-CN"/>
              </w:rPr>
              <w:t>②持有人力资源和社会保障部门颁发的劳动关系协调师资格证书的，每提供一个得1分，本项最高得2分。</w:t>
            </w:r>
          </w:p>
          <w:p w14:paraId="773B87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highlight w:val="none"/>
                <w:lang w:val="en-US" w:eastAsia="zh-CN"/>
              </w:rPr>
            </w:pPr>
            <w:r>
              <w:rPr>
                <w:rFonts w:hint="eastAsia"/>
                <w:highlight w:val="none"/>
                <w:lang w:val="en-US" w:eastAsia="zh-CN"/>
              </w:rPr>
              <w:t xml:space="preserve">③持有人力资源和社会保障部门颁发的信息系统项目管理师资格证书的，每提供一个得1分，本项最高得2分。（提供证书复印件并加盖投标人单位公章）。 </w:t>
            </w:r>
          </w:p>
          <w:p w14:paraId="2DECFD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highlight w:val="none"/>
                <w:lang w:val="en-US" w:eastAsia="zh-CN"/>
              </w:rPr>
            </w:pPr>
            <w:r>
              <w:rPr>
                <w:rFonts w:hint="eastAsia"/>
                <w:highlight w:val="none"/>
                <w:lang w:val="en-US" w:eastAsia="zh-CN"/>
              </w:rPr>
              <w:t>④项目管理人员具有三年（含三年）以上政府服务外包管理和人力资源管理经验的。每提供一个得1分，</w:t>
            </w:r>
            <w:r>
              <w:rPr>
                <w:rFonts w:hint="eastAsia" w:ascii="Times New Roman" w:hAnsi="Times New Roman" w:eastAsia="宋体" w:cs="Times New Roman"/>
                <w:bCs/>
                <w:color w:val="auto"/>
                <w:kern w:val="2"/>
                <w:sz w:val="21"/>
                <w:szCs w:val="24"/>
                <w:highlight w:val="none"/>
                <w:lang w:val="en-US" w:eastAsia="zh-CN" w:bidi="ar-SA"/>
              </w:rPr>
              <w:t>本项最高得3分。</w:t>
            </w:r>
          </w:p>
        </w:tc>
        <w:tc>
          <w:tcPr>
            <w:tcW w:w="1041" w:type="dxa"/>
            <w:noWrap w:val="0"/>
            <w:vAlign w:val="center"/>
          </w:tcPr>
          <w:p w14:paraId="668503AC">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w:t>
            </w:r>
          </w:p>
        </w:tc>
      </w:tr>
      <w:tr w14:paraId="5728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193F6C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42E12A9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5.团队能力</w:t>
            </w:r>
          </w:p>
          <w:p w14:paraId="0E71FE3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w:t>
            </w:r>
          </w:p>
        </w:tc>
        <w:tc>
          <w:tcPr>
            <w:tcW w:w="5139" w:type="dxa"/>
            <w:noWrap w:val="0"/>
            <w:vAlign w:val="top"/>
          </w:tcPr>
          <w:p w14:paraId="74756F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①拟投入团队成员中具有大学本科学历且持有英语专业TEM-4级或大学英语CET-6级及以上证书，同时满足以上条件的每有1人得1分，不能同时满足的不得分，</w:t>
            </w:r>
            <w:r>
              <w:rPr>
                <w:rFonts w:hint="eastAsia" w:ascii="Times New Roman" w:hAnsi="Times New Roman" w:eastAsia="宋体" w:cs="Times New Roman"/>
                <w:bCs/>
                <w:color w:val="auto"/>
                <w:kern w:val="2"/>
                <w:sz w:val="21"/>
                <w:szCs w:val="24"/>
                <w:highlight w:val="none"/>
                <w:lang w:val="en-US" w:eastAsia="zh-CN" w:bidi="ar-SA"/>
              </w:rPr>
              <w:t>最高得</w:t>
            </w:r>
            <w:r>
              <w:rPr>
                <w:rFonts w:hint="eastAsia" w:cs="Times New Roman"/>
                <w:bCs/>
                <w:color w:val="auto"/>
                <w:kern w:val="2"/>
                <w:sz w:val="21"/>
                <w:szCs w:val="24"/>
                <w:highlight w:val="none"/>
                <w:lang w:val="en-US" w:eastAsia="zh-CN" w:bidi="ar-SA"/>
              </w:rPr>
              <w:t>5</w:t>
            </w:r>
            <w:r>
              <w:rPr>
                <w:rFonts w:hint="eastAsia" w:ascii="Times New Roman" w:hAnsi="Times New Roman" w:eastAsia="宋体" w:cs="Times New Roman"/>
                <w:bCs/>
                <w:color w:val="auto"/>
                <w:kern w:val="2"/>
                <w:sz w:val="21"/>
                <w:szCs w:val="24"/>
                <w:highlight w:val="none"/>
                <w:lang w:val="en-US" w:eastAsia="zh-CN" w:bidi="ar-SA"/>
              </w:rPr>
              <w:t>分；</w:t>
            </w:r>
          </w:p>
          <w:p w14:paraId="1198BD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1"/>
                <w:szCs w:val="21"/>
                <w:highlight w:val="none"/>
                <w:lang w:val="en-US" w:eastAsia="zh-CN"/>
              </w:rPr>
            </w:pPr>
            <w:r>
              <w:rPr>
                <w:rFonts w:hint="eastAsia"/>
                <w:highlight w:val="none"/>
                <w:lang w:val="en-US" w:eastAsia="zh-CN"/>
              </w:rPr>
              <w:t>②</w:t>
            </w:r>
            <w:r>
              <w:rPr>
                <w:rFonts w:hint="eastAsia" w:ascii="宋体" w:hAnsi="宋体" w:eastAsia="宋体" w:cs="宋体"/>
                <w:color w:val="auto"/>
                <w:sz w:val="21"/>
                <w:szCs w:val="21"/>
                <w:highlight w:val="none"/>
                <w:lang w:val="en-US" w:eastAsia="zh-CN"/>
              </w:rPr>
              <w:t>拟投入团队成员中每具有1名计算机二级（含）以上证书者得1分，最高得3分。</w:t>
            </w:r>
          </w:p>
          <w:p w14:paraId="524AFE86">
            <w:pPr>
              <w:pStyle w:val="2"/>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③拟投入项目成员中每具有1名信息系统运维管理工程师证书者得1分， 最高得2分。</w:t>
            </w:r>
          </w:p>
          <w:p w14:paraId="5C7E62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注：提供学历证书及相关证书复印件并加盖投标人公章</w:t>
            </w:r>
          </w:p>
        </w:tc>
        <w:tc>
          <w:tcPr>
            <w:tcW w:w="1041" w:type="dxa"/>
            <w:noWrap w:val="0"/>
            <w:vAlign w:val="center"/>
          </w:tcPr>
          <w:p w14:paraId="10ABA52C">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w:t>
            </w:r>
          </w:p>
        </w:tc>
      </w:tr>
      <w:tr w14:paraId="0FD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50" w:type="dxa"/>
            <w:gridSpan w:val="4"/>
            <w:noWrap w:val="0"/>
            <w:vAlign w:val="center"/>
          </w:tcPr>
          <w:p w14:paraId="338D2DAF">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注：以上4-5项拟投入项目人员除提供相应的证书外，均需提供在投标人单位（含分公司）202</w:t>
            </w:r>
            <w:r>
              <w:rPr>
                <w:rFonts w:hint="eastAsia" w:ascii="宋体" w:hAnsi="宋体" w:cs="宋体"/>
                <w:b w:val="0"/>
                <w:bCs/>
                <w:color w:val="auto"/>
                <w:kern w:val="2"/>
                <w:sz w:val="21"/>
                <w:szCs w:val="21"/>
                <w:highlight w:val="none"/>
                <w:lang w:val="en-US" w:eastAsia="zh-CN" w:bidi="ar-SA"/>
              </w:rPr>
              <w:t>5</w:t>
            </w:r>
            <w:r>
              <w:rPr>
                <w:rFonts w:hint="eastAsia" w:ascii="宋体" w:hAnsi="宋体" w:eastAsia="宋体" w:cs="宋体"/>
                <w:b w:val="0"/>
                <w:bCs/>
                <w:color w:val="auto"/>
                <w:kern w:val="2"/>
                <w:sz w:val="21"/>
                <w:szCs w:val="21"/>
                <w:highlight w:val="none"/>
                <w:lang w:val="en-US" w:eastAsia="zh-CN" w:bidi="ar-SA"/>
              </w:rPr>
              <w:t>年</w:t>
            </w:r>
            <w:r>
              <w:rPr>
                <w:rFonts w:hint="eastAsia" w:ascii="宋体" w:hAnsi="宋体" w:cs="宋体"/>
                <w:b w:val="0"/>
                <w:bCs/>
                <w:color w:val="auto"/>
                <w:kern w:val="2"/>
                <w:sz w:val="21"/>
                <w:szCs w:val="21"/>
                <w:highlight w:val="none"/>
                <w:lang w:val="en-US" w:eastAsia="zh-CN" w:bidi="ar-SA"/>
              </w:rPr>
              <w:t>6月至今</w:t>
            </w:r>
            <w:r>
              <w:rPr>
                <w:rFonts w:hint="eastAsia" w:ascii="宋体" w:hAnsi="宋体" w:eastAsia="宋体" w:cs="宋体"/>
                <w:b w:val="0"/>
                <w:bCs/>
                <w:color w:val="auto"/>
                <w:kern w:val="2"/>
                <w:sz w:val="21"/>
                <w:szCs w:val="21"/>
                <w:highlight w:val="none"/>
                <w:lang w:val="en-US" w:eastAsia="zh-CN" w:bidi="ar-SA"/>
              </w:rPr>
              <w:t>任意</w:t>
            </w:r>
            <w:r>
              <w:rPr>
                <w:rFonts w:hint="eastAsia" w:ascii="宋体" w:hAnsi="宋体" w:cs="宋体"/>
                <w:b w:val="0"/>
                <w:bCs/>
                <w:color w:val="auto"/>
                <w:kern w:val="2"/>
                <w:sz w:val="21"/>
                <w:szCs w:val="21"/>
                <w:highlight w:val="none"/>
                <w:lang w:val="en-US" w:eastAsia="zh-CN" w:bidi="ar-SA"/>
              </w:rPr>
              <w:t>三</w:t>
            </w:r>
            <w:r>
              <w:rPr>
                <w:rFonts w:hint="eastAsia" w:ascii="宋体" w:hAnsi="宋体" w:eastAsia="宋体" w:cs="宋体"/>
                <w:b w:val="0"/>
                <w:bCs/>
                <w:color w:val="auto"/>
                <w:kern w:val="2"/>
                <w:sz w:val="21"/>
                <w:szCs w:val="21"/>
                <w:highlight w:val="none"/>
                <w:lang w:val="en-US" w:eastAsia="zh-CN" w:bidi="ar-SA"/>
              </w:rPr>
              <w:t>个月的社保缴纳证明（所有文件应提供复印件加盖投标人公章），不提供不得分。</w:t>
            </w:r>
          </w:p>
        </w:tc>
      </w:tr>
      <w:tr w14:paraId="21C9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restart"/>
            <w:noWrap w:val="0"/>
            <w:vAlign w:val="center"/>
          </w:tcPr>
          <w:p w14:paraId="5E7334F0">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技术部分</w:t>
            </w:r>
          </w:p>
          <w:p w14:paraId="4DE6C025">
            <w:pPr>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（4</w:t>
            </w:r>
            <w:r>
              <w:rPr>
                <w:rFonts w:hint="eastAsia" w:cs="Times New Roman"/>
                <w:b/>
                <w:bCs/>
                <w:highlight w:val="none"/>
                <w:lang w:val="en-US" w:eastAsia="zh-CN"/>
              </w:rPr>
              <w:t>8</w:t>
            </w:r>
            <w:r>
              <w:rPr>
                <w:rFonts w:hint="eastAsia" w:ascii="Times New Roman" w:hAnsi="Times New Roman" w:eastAsia="宋体" w:cs="Times New Roman"/>
                <w:b/>
                <w:bCs/>
                <w:highlight w:val="none"/>
                <w:lang w:val="en-US" w:eastAsia="zh-CN"/>
              </w:rPr>
              <w:t>分）</w:t>
            </w:r>
          </w:p>
        </w:tc>
        <w:tc>
          <w:tcPr>
            <w:tcW w:w="1590" w:type="dxa"/>
            <w:noWrap w:val="0"/>
            <w:vAlign w:val="center"/>
          </w:tcPr>
          <w:p w14:paraId="18C6F623">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0F9F0D8B">
            <w:pPr>
              <w:widowControl w:val="0"/>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6.项目需求理解与重难点分析</w:t>
            </w:r>
          </w:p>
          <w:p w14:paraId="271FE027">
            <w:pPr>
              <w:widowControl w:val="0"/>
              <w:ind w:firstLine="210" w:firstLineChars="100"/>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（6分）</w:t>
            </w:r>
          </w:p>
          <w:p w14:paraId="771B7E33">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sz w:val="21"/>
                <w:szCs w:val="21"/>
                <w:highlight w:val="none"/>
                <w:lang w:val="en-US" w:eastAsia="zh-CN"/>
              </w:rPr>
            </w:pPr>
          </w:p>
        </w:tc>
        <w:tc>
          <w:tcPr>
            <w:tcW w:w="5139" w:type="dxa"/>
            <w:noWrap w:val="0"/>
            <w:vAlign w:val="center"/>
          </w:tcPr>
          <w:p w14:paraId="2F28E35F">
            <w:pPr>
              <w:pageBreakBefore w:val="0"/>
              <w:widowControl w:val="0"/>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对比采购需求，投标人提供的方案：包括但不限于：①项目的需求理解② 重难点分析③重难点问题应对策略等内容进行自主评分，方案满分6分，每缺失一项内容扣2分；每一项内容存在一处缺陷（缺陷是指方案内容不符合项目实际要求、描述不详细、缺乏针对性、缺乏可操作性、不合理、内容缺少关键节点、前后相互矛盾、存在无法实现预期目标的风险等）扣0.5分，扣完为止。本项最低分为0分。）</w:t>
            </w:r>
          </w:p>
          <w:p w14:paraId="65FDC2A5">
            <w:pPr>
              <w:widowControl w:val="0"/>
              <w:jc w:val="left"/>
              <w:rPr>
                <w:rFonts w:hint="eastAsia" w:ascii="宋体" w:hAnsi="宋体" w:eastAsia="宋体" w:cs="宋体"/>
                <w:b w:val="0"/>
                <w:bCs/>
                <w:color w:val="auto"/>
                <w:kern w:val="2"/>
                <w:sz w:val="21"/>
                <w:szCs w:val="21"/>
                <w:highlight w:val="none"/>
                <w:lang w:val="en-US" w:eastAsia="zh-CN" w:bidi="ar-SA"/>
              </w:rPr>
            </w:pPr>
          </w:p>
        </w:tc>
        <w:tc>
          <w:tcPr>
            <w:tcW w:w="1041" w:type="dxa"/>
            <w:noWrap w:val="0"/>
            <w:vAlign w:val="center"/>
          </w:tcPr>
          <w:p w14:paraId="65ED374F">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r>
      <w:tr w14:paraId="4AEC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1768DF36">
            <w:pPr>
              <w:keepNext w:val="0"/>
              <w:keepLines w:val="0"/>
              <w:pageBreakBefore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21DB50EA">
            <w:pPr>
              <w:keepNext w:val="0"/>
              <w:keepLines w:val="0"/>
              <w:pageBreakBefore w:val="0"/>
              <w:tabs>
                <w:tab w:val="left" w:pos="42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7.整体运行</w:t>
            </w:r>
          </w:p>
          <w:p w14:paraId="0D9FEA0B">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服务方案</w:t>
            </w:r>
          </w:p>
          <w:p w14:paraId="27C9E5EB">
            <w:pPr>
              <w:keepNext w:val="0"/>
              <w:keepLines w:val="0"/>
              <w:pageBreakBefore w:val="0"/>
              <w:tabs>
                <w:tab w:val="left" w:pos="425"/>
              </w:tabs>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c>
          <w:tcPr>
            <w:tcW w:w="5139" w:type="dxa"/>
            <w:noWrap w:val="0"/>
            <w:vAlign w:val="center"/>
          </w:tcPr>
          <w:p w14:paraId="68F62B99">
            <w:pPr>
              <w:pageBreakBefore w:val="0"/>
              <w:widowControl w:val="0"/>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对比采购需求，投标人提供的方案：包括但不限于：①总体运行管理与环境保障②窗口服务与人员管理③业务流程优化与创新服务④ 智慧化支撑与效能监督等内容进行自主评分，方案满分</w:t>
            </w: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 ，每缺失一项内容扣</w:t>
            </w:r>
            <w:r>
              <w:rPr>
                <w:rFonts w:hint="eastAsia" w:ascii="宋体" w:hAnsi="宋体" w:cs="宋体"/>
                <w:b w:val="0"/>
                <w:bCs/>
                <w:color w:val="auto"/>
                <w:kern w:val="2"/>
                <w:sz w:val="21"/>
                <w:szCs w:val="21"/>
                <w:highlight w:val="none"/>
                <w:lang w:val="en-US" w:eastAsia="zh-CN" w:bidi="ar-SA"/>
              </w:rPr>
              <w:t>1.5</w:t>
            </w:r>
            <w:r>
              <w:rPr>
                <w:rFonts w:hint="eastAsia" w:ascii="宋体" w:hAnsi="宋体" w:eastAsia="宋体" w:cs="宋体"/>
                <w:b w:val="0"/>
                <w:bCs/>
                <w:color w:val="auto"/>
                <w:kern w:val="2"/>
                <w:sz w:val="21"/>
                <w:szCs w:val="21"/>
                <w:highlight w:val="none"/>
                <w:lang w:val="en-US" w:eastAsia="zh-CN" w:bidi="ar-SA"/>
              </w:rPr>
              <w:t>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7898701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r>
      <w:tr w14:paraId="7A3F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1425FB9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4C765E5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8.项目实施</w:t>
            </w:r>
          </w:p>
          <w:p w14:paraId="4659081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保障方案</w:t>
            </w:r>
          </w:p>
          <w:p w14:paraId="7AE46AA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c>
          <w:tcPr>
            <w:tcW w:w="5139" w:type="dxa"/>
            <w:noWrap w:val="0"/>
            <w:vAlign w:val="center"/>
          </w:tcPr>
          <w:p w14:paraId="5D9286EF">
            <w:pPr>
              <w:pageBreakBefore w:val="0"/>
              <w:widowControl w:val="0"/>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对比采购需求，投标人提供的方案：包括但不限于：①组织保障②资金与资源保障③制度与标准保障④人员与监督保障等内容进行自主评分，方案满分</w:t>
            </w: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 ，每缺失一项内容扣</w:t>
            </w:r>
            <w:r>
              <w:rPr>
                <w:rFonts w:hint="eastAsia" w:ascii="宋体" w:hAnsi="宋体" w:cs="宋体"/>
                <w:b w:val="0"/>
                <w:bCs/>
                <w:color w:val="auto"/>
                <w:kern w:val="2"/>
                <w:sz w:val="21"/>
                <w:szCs w:val="21"/>
                <w:highlight w:val="none"/>
                <w:lang w:val="en-US" w:eastAsia="zh-CN" w:bidi="ar-SA"/>
              </w:rPr>
              <w:t>1.5</w:t>
            </w:r>
            <w:r>
              <w:rPr>
                <w:rFonts w:hint="eastAsia" w:ascii="宋体" w:hAnsi="宋体" w:eastAsia="宋体" w:cs="宋体"/>
                <w:b w:val="0"/>
                <w:bCs/>
                <w:color w:val="auto"/>
                <w:kern w:val="2"/>
                <w:sz w:val="21"/>
                <w:szCs w:val="21"/>
                <w:highlight w:val="none"/>
                <w:lang w:val="en-US" w:eastAsia="zh-CN" w:bidi="ar-SA"/>
              </w:rPr>
              <w:t>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26A5B6A4">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r>
      <w:tr w14:paraId="289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77FA97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5EA0061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人员招聘</w:t>
            </w:r>
          </w:p>
          <w:p w14:paraId="3A452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方案（</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5139" w:type="dxa"/>
            <w:noWrap w:val="0"/>
            <w:vAlign w:val="center"/>
          </w:tcPr>
          <w:p w14:paraId="42B0761C">
            <w:pPr>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w:t>
            </w:r>
            <w:r>
              <w:rPr>
                <w:rFonts w:ascii="仿宋_GB2312" w:hAnsi="仿宋_GB2312" w:eastAsia="仿宋_GB2312" w:cs="仿宋_GB2312"/>
                <w:highlight w:val="none"/>
              </w:rPr>
              <w:t>包括但不限于：</w:t>
            </w:r>
            <w:r>
              <w:rPr>
                <w:rFonts w:hint="eastAsia" w:ascii="宋体" w:hAnsi="宋体" w:eastAsia="宋体" w:cs="宋体"/>
                <w:b w:val="0"/>
                <w:bCs/>
                <w:color w:val="auto"/>
                <w:kern w:val="2"/>
                <w:sz w:val="21"/>
                <w:szCs w:val="21"/>
                <w:highlight w:val="none"/>
                <w:lang w:val="en-US" w:eastAsia="zh-CN" w:bidi="ar-SA"/>
              </w:rPr>
              <w:t>①招聘需求与岗位分析②招聘渠道与方式③招聘流程与时间安排④录用与保障措施等内容进行自主评分，方案满分</w:t>
            </w: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 ，每缺失一项内容扣</w:t>
            </w:r>
            <w:r>
              <w:rPr>
                <w:rFonts w:hint="eastAsia" w:ascii="宋体" w:hAnsi="宋体" w:cs="宋体"/>
                <w:b w:val="0"/>
                <w:bCs/>
                <w:color w:val="auto"/>
                <w:kern w:val="2"/>
                <w:sz w:val="21"/>
                <w:szCs w:val="21"/>
                <w:highlight w:val="none"/>
                <w:lang w:val="en-US" w:eastAsia="zh-CN" w:bidi="ar-SA"/>
              </w:rPr>
              <w:t>1.5</w:t>
            </w:r>
            <w:r>
              <w:rPr>
                <w:rFonts w:hint="eastAsia" w:ascii="宋体" w:hAnsi="宋体" w:eastAsia="宋体" w:cs="宋体"/>
                <w:b w:val="0"/>
                <w:bCs/>
                <w:color w:val="auto"/>
                <w:kern w:val="2"/>
                <w:sz w:val="21"/>
                <w:szCs w:val="21"/>
                <w:highlight w:val="none"/>
                <w:lang w:val="en-US" w:eastAsia="zh-CN" w:bidi="ar-SA"/>
              </w:rPr>
              <w:t>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5C4ABDD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r>
      <w:tr w14:paraId="59A5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33C58C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288B9822">
            <w:pPr>
              <w:keepNext w:val="0"/>
              <w:keepLines w:val="0"/>
              <w:pageBreakBefore w:val="0"/>
              <w:widowControl w:val="0"/>
              <w:kinsoku/>
              <w:wordWrap/>
              <w:overflowPunct/>
              <w:topLinePunct w:val="0"/>
              <w:autoSpaceDE/>
              <w:autoSpaceDN/>
              <w:bidi w:val="0"/>
              <w:adjustRightInd/>
              <w:snapToGrid/>
              <w:spacing w:line="360" w:lineRule="auto"/>
              <w:ind w:left="420" w:hanging="420" w:hangingChars="200"/>
              <w:jc w:val="both"/>
              <w:textAlignment w:val="auto"/>
              <w:outlineLvl w:val="1"/>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10.人员培训方案（6分）</w:t>
            </w:r>
          </w:p>
        </w:tc>
        <w:tc>
          <w:tcPr>
            <w:tcW w:w="5139" w:type="dxa"/>
            <w:noWrap w:val="0"/>
            <w:vAlign w:val="center"/>
          </w:tcPr>
          <w:p w14:paraId="55AF31B6">
            <w:pPr>
              <w:pageBreakBefore w:val="0"/>
              <w:widowControl w:val="0"/>
              <w:numPr>
                <w:ilvl w:val="0"/>
                <w:numId w:val="0"/>
              </w:numPr>
              <w:kinsoku/>
              <w:wordWrap/>
              <w:overflowPunct/>
              <w:topLinePunct w:val="0"/>
              <w:autoSpaceDE/>
              <w:autoSpaceDN/>
              <w:bidi w:val="0"/>
              <w:spacing w:line="360" w:lineRule="auto"/>
              <w:jc w:val="left"/>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w:t>
            </w:r>
            <w:r>
              <w:rPr>
                <w:rFonts w:hint="eastAsia" w:ascii="宋体" w:hAnsi="宋体" w:cs="宋体"/>
                <w:b w:val="0"/>
                <w:bCs/>
                <w:color w:val="auto"/>
                <w:kern w:val="2"/>
                <w:sz w:val="21"/>
                <w:szCs w:val="21"/>
                <w:highlight w:val="none"/>
                <w:lang w:val="en-US" w:eastAsia="zh-CN" w:bidi="ar-SA"/>
              </w:rPr>
              <w:t>包括但不限于：</w:t>
            </w:r>
          </w:p>
          <w:p w14:paraId="632539CE">
            <w:pPr>
              <w:pageBreakBefore w:val="0"/>
              <w:widowControl w:val="0"/>
              <w:kinsoku/>
              <w:wordWrap/>
              <w:overflowPunct/>
              <w:topLinePunct w:val="0"/>
              <w:autoSpaceDE/>
              <w:autoSpaceDN/>
              <w:bidi w:val="0"/>
              <w:spacing w:line="360" w:lineRule="auto"/>
              <w:jc w:val="left"/>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①</w:t>
            </w:r>
            <w:r>
              <w:rPr>
                <w:rFonts w:hint="eastAsia" w:ascii="宋体" w:hAnsi="宋体" w:cs="宋体"/>
                <w:b w:val="0"/>
                <w:bCs/>
                <w:color w:val="auto"/>
                <w:kern w:val="2"/>
                <w:sz w:val="21"/>
                <w:szCs w:val="21"/>
                <w:highlight w:val="none"/>
                <w:lang w:val="en-US" w:eastAsia="zh-CN" w:bidi="ar-SA"/>
              </w:rPr>
              <w:t>岗前基础与规范培训</w:t>
            </w:r>
            <w:r>
              <w:rPr>
                <w:rFonts w:hint="eastAsia" w:ascii="宋体" w:hAnsi="宋体" w:eastAsia="宋体" w:cs="宋体"/>
                <w:b w:val="0"/>
                <w:bCs/>
                <w:color w:val="auto"/>
                <w:kern w:val="2"/>
                <w:sz w:val="21"/>
                <w:szCs w:val="21"/>
                <w:highlight w:val="none"/>
                <w:lang w:val="en-US" w:eastAsia="zh-CN" w:bidi="ar-SA"/>
              </w:rPr>
              <w:t>②</w:t>
            </w:r>
            <w:r>
              <w:rPr>
                <w:rFonts w:hint="eastAsia" w:ascii="宋体" w:hAnsi="宋体" w:cs="宋体"/>
                <w:b w:val="0"/>
                <w:bCs/>
                <w:color w:val="auto"/>
                <w:kern w:val="2"/>
                <w:sz w:val="21"/>
                <w:szCs w:val="21"/>
                <w:highlight w:val="none"/>
                <w:lang w:val="en-US" w:eastAsia="zh-CN" w:bidi="ar-SA"/>
              </w:rPr>
              <w:t>岗位技能与实操培训</w:t>
            </w:r>
            <w:r>
              <w:rPr>
                <w:rFonts w:hint="eastAsia" w:ascii="宋体" w:hAnsi="宋体" w:eastAsia="宋体" w:cs="宋体"/>
                <w:b w:val="0"/>
                <w:bCs/>
                <w:color w:val="auto"/>
                <w:kern w:val="2"/>
                <w:sz w:val="21"/>
                <w:szCs w:val="21"/>
                <w:highlight w:val="none"/>
                <w:lang w:val="en-US" w:eastAsia="zh-CN" w:bidi="ar-SA"/>
              </w:rPr>
              <w:t>③服务沟通与礼仪培训④持续发展与考核评估</w:t>
            </w:r>
            <w:r>
              <w:rPr>
                <w:rFonts w:hint="eastAsia" w:ascii="宋体" w:hAnsi="宋体" w:cs="宋体"/>
                <w:b w:val="0"/>
                <w:bCs/>
                <w:color w:val="auto"/>
                <w:kern w:val="2"/>
                <w:sz w:val="21"/>
                <w:szCs w:val="21"/>
                <w:highlight w:val="none"/>
                <w:lang w:val="en-US" w:eastAsia="zh-CN" w:bidi="ar-SA"/>
              </w:rPr>
              <w:t>等</w:t>
            </w:r>
            <w:r>
              <w:rPr>
                <w:rFonts w:hint="eastAsia" w:ascii="宋体" w:hAnsi="宋体" w:eastAsia="宋体" w:cs="宋体"/>
                <w:b w:val="0"/>
                <w:bCs/>
                <w:color w:val="auto"/>
                <w:kern w:val="2"/>
                <w:sz w:val="21"/>
                <w:szCs w:val="21"/>
                <w:highlight w:val="none"/>
                <w:lang w:val="en-US" w:eastAsia="zh-CN" w:bidi="ar-SA"/>
              </w:rPr>
              <w:t>内容</w:t>
            </w:r>
            <w:r>
              <w:rPr>
                <w:rFonts w:hint="eastAsia" w:ascii="宋体" w:hAnsi="宋体" w:cs="宋体"/>
                <w:b w:val="0"/>
                <w:bCs/>
                <w:color w:val="auto"/>
                <w:kern w:val="2"/>
                <w:sz w:val="21"/>
                <w:szCs w:val="21"/>
                <w:highlight w:val="none"/>
                <w:lang w:val="en-US" w:eastAsia="zh-CN" w:bidi="ar-SA"/>
              </w:rPr>
              <w:t>进行自主评分，方案满分6分，每缺失一项内容扣1.5分；每一项内容存在一处缺陷（</w:t>
            </w:r>
            <w:r>
              <w:rPr>
                <w:rFonts w:hint="eastAsia" w:ascii="宋体" w:hAnsi="宋体" w:eastAsia="宋体" w:cs="宋体"/>
                <w:b w:val="0"/>
                <w:bCs/>
                <w:color w:val="auto"/>
                <w:kern w:val="2"/>
                <w:sz w:val="21"/>
                <w:szCs w:val="21"/>
                <w:highlight w:val="none"/>
                <w:lang w:val="en-US" w:eastAsia="zh-CN" w:bidi="ar-SA"/>
              </w:rPr>
              <w:t>缺陷是指方案内容不符合项目实际要求、描述不详细、缺乏针对性、缺乏可操作性、不合理、内容缺少关键节点、前后相互矛盾、存在无法实现预期目标的风险等）扣0.5分，扣完为止。本项最低分为0分。</w:t>
            </w:r>
            <w:r>
              <w:rPr>
                <w:rFonts w:hint="eastAsia" w:ascii="宋体" w:hAnsi="宋体" w:cs="宋体"/>
                <w:b w:val="0"/>
                <w:bCs/>
                <w:color w:val="auto"/>
                <w:kern w:val="2"/>
                <w:sz w:val="21"/>
                <w:szCs w:val="21"/>
                <w:highlight w:val="none"/>
                <w:lang w:val="en-US" w:eastAsia="zh-CN" w:bidi="ar-SA"/>
              </w:rPr>
              <w:t>）</w:t>
            </w:r>
          </w:p>
        </w:tc>
        <w:tc>
          <w:tcPr>
            <w:tcW w:w="1041" w:type="dxa"/>
            <w:noWrap w:val="0"/>
            <w:vAlign w:val="center"/>
          </w:tcPr>
          <w:p w14:paraId="548F2501">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r>
      <w:tr w14:paraId="742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13F850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7D1A1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11.薪酬及绩效考核方案</w:t>
            </w:r>
          </w:p>
          <w:p w14:paraId="26D60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10" w:firstLineChars="100"/>
              <w:jc w:val="both"/>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（6分）</w:t>
            </w:r>
          </w:p>
        </w:tc>
        <w:tc>
          <w:tcPr>
            <w:tcW w:w="5139" w:type="dxa"/>
            <w:noWrap w:val="0"/>
            <w:vAlign w:val="center"/>
          </w:tcPr>
          <w:p w14:paraId="58485D6A">
            <w:pPr>
              <w:pageBreakBefore w:val="0"/>
              <w:widowControl w:val="0"/>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w:t>
            </w:r>
            <w:r>
              <w:rPr>
                <w:rFonts w:ascii="仿宋_GB2312" w:hAnsi="仿宋_GB2312" w:eastAsia="仿宋_GB2312" w:cs="仿宋_GB2312"/>
                <w:highlight w:val="none"/>
              </w:rPr>
              <w:t>包括但不限于：</w:t>
            </w:r>
            <w:r>
              <w:rPr>
                <w:rFonts w:hint="eastAsia" w:ascii="宋体" w:hAnsi="宋体" w:eastAsia="宋体" w:cs="宋体"/>
                <w:b w:val="0"/>
                <w:bCs/>
                <w:color w:val="auto"/>
                <w:kern w:val="2"/>
                <w:sz w:val="21"/>
                <w:szCs w:val="21"/>
                <w:highlight w:val="none"/>
                <w:lang w:val="en-US" w:eastAsia="zh-CN" w:bidi="ar-SA"/>
              </w:rPr>
              <w:t>①薪酬体系设计②绩效考核指标体系③考核流程与方法④结果应用与反馈机制等内容进行自主评分，方案满分</w:t>
            </w: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 ，每缺失一项内容扣</w:t>
            </w:r>
            <w:r>
              <w:rPr>
                <w:rFonts w:hint="eastAsia" w:ascii="宋体" w:hAnsi="宋体" w:cs="宋体"/>
                <w:b w:val="0"/>
                <w:bCs/>
                <w:color w:val="auto"/>
                <w:kern w:val="2"/>
                <w:sz w:val="21"/>
                <w:szCs w:val="21"/>
                <w:highlight w:val="none"/>
                <w:lang w:val="en-US" w:eastAsia="zh-CN" w:bidi="ar-SA"/>
              </w:rPr>
              <w:t>1.5</w:t>
            </w:r>
            <w:r>
              <w:rPr>
                <w:rFonts w:hint="eastAsia" w:ascii="宋体" w:hAnsi="宋体" w:eastAsia="宋体" w:cs="宋体"/>
                <w:b w:val="0"/>
                <w:bCs/>
                <w:color w:val="auto"/>
                <w:kern w:val="2"/>
                <w:sz w:val="21"/>
                <w:szCs w:val="21"/>
                <w:highlight w:val="none"/>
                <w:lang w:val="en-US" w:eastAsia="zh-CN" w:bidi="ar-SA"/>
              </w:rPr>
              <w:t>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250B1CA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6分</w:t>
            </w:r>
          </w:p>
        </w:tc>
      </w:tr>
      <w:tr w14:paraId="7E6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0521D9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1404428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12内部制度建设（6）</w:t>
            </w:r>
          </w:p>
        </w:tc>
        <w:tc>
          <w:tcPr>
            <w:tcW w:w="5139" w:type="dxa"/>
            <w:noWrap w:val="0"/>
            <w:vAlign w:val="center"/>
          </w:tcPr>
          <w:p w14:paraId="02E5846E">
            <w:pPr>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对比采购需求，投标人</w:t>
            </w:r>
            <w:r>
              <w:rPr>
                <w:rFonts w:hint="eastAsia" w:ascii="宋体" w:hAnsi="宋体" w:eastAsia="宋体" w:cs="宋体"/>
                <w:b w:val="0"/>
                <w:bCs/>
                <w:color w:val="auto"/>
                <w:kern w:val="2"/>
                <w:sz w:val="21"/>
                <w:szCs w:val="21"/>
                <w:highlight w:val="none"/>
                <w:lang w:val="en-US" w:eastAsia="zh-CN" w:bidi="ar-SA"/>
              </w:rPr>
              <w:t>提供的管理制度方案，包含但不限于：①</w:t>
            </w:r>
            <w:r>
              <w:rPr>
                <w:rFonts w:hint="eastAsia" w:ascii="宋体" w:hAnsi="宋体" w:cs="宋体"/>
                <w:b w:val="0"/>
                <w:bCs/>
                <w:color w:val="auto"/>
                <w:kern w:val="2"/>
                <w:sz w:val="21"/>
                <w:szCs w:val="21"/>
                <w:highlight w:val="none"/>
                <w:lang w:val="en-US" w:eastAsia="zh-CN" w:bidi="ar-SA"/>
              </w:rPr>
              <w:t>行为规范与纪律管理制度</w:t>
            </w:r>
            <w:r>
              <w:rPr>
                <w:rFonts w:hint="eastAsia" w:ascii="宋体" w:hAnsi="宋体" w:eastAsia="宋体" w:cs="宋体"/>
                <w:b w:val="0"/>
                <w:bCs/>
                <w:color w:val="auto"/>
                <w:kern w:val="2"/>
                <w:sz w:val="21"/>
                <w:szCs w:val="21"/>
                <w:highlight w:val="none"/>
                <w:lang w:val="en-US" w:eastAsia="zh-CN" w:bidi="ar-SA"/>
              </w:rPr>
              <w:t>②</w:t>
            </w:r>
            <w:r>
              <w:rPr>
                <w:rFonts w:hint="eastAsia" w:ascii="宋体" w:hAnsi="宋体" w:cs="宋体"/>
                <w:b w:val="0"/>
                <w:bCs/>
                <w:color w:val="auto"/>
                <w:kern w:val="2"/>
                <w:sz w:val="21"/>
                <w:szCs w:val="21"/>
                <w:highlight w:val="none"/>
                <w:lang w:val="en-US" w:eastAsia="zh-CN" w:bidi="ar-SA"/>
              </w:rPr>
              <w:t>业务办理与流程标准化制度</w:t>
            </w:r>
            <w:r>
              <w:rPr>
                <w:rFonts w:hint="eastAsia" w:ascii="宋体" w:hAnsi="宋体" w:eastAsia="宋体" w:cs="宋体"/>
                <w:b w:val="0"/>
                <w:bCs/>
                <w:color w:val="auto"/>
                <w:kern w:val="2"/>
                <w:sz w:val="21"/>
                <w:szCs w:val="21"/>
                <w:highlight w:val="none"/>
                <w:lang w:val="en-US" w:eastAsia="zh-CN" w:bidi="ar-SA"/>
              </w:rPr>
              <w:t>③</w:t>
            </w:r>
            <w:r>
              <w:rPr>
                <w:rFonts w:hint="eastAsia" w:ascii="宋体" w:hAnsi="宋体" w:cs="宋体"/>
                <w:b w:val="0"/>
                <w:bCs/>
                <w:color w:val="auto"/>
                <w:kern w:val="2"/>
                <w:sz w:val="21"/>
                <w:szCs w:val="21"/>
                <w:highlight w:val="none"/>
                <w:lang w:val="en-US" w:eastAsia="zh-CN" w:bidi="ar-SA"/>
              </w:rPr>
              <w:t>学习培训与能力提升制度</w:t>
            </w:r>
            <w:r>
              <w:rPr>
                <w:rFonts w:hint="eastAsia" w:ascii="宋体" w:hAnsi="宋体" w:eastAsia="宋体" w:cs="宋体"/>
                <w:b w:val="0"/>
                <w:bCs/>
                <w:color w:val="auto"/>
                <w:kern w:val="2"/>
                <w:sz w:val="21"/>
                <w:szCs w:val="21"/>
                <w:highlight w:val="none"/>
                <w:lang w:val="en-US" w:eastAsia="zh-CN" w:bidi="ar-SA"/>
              </w:rPr>
              <w:t>④日常监督与考核评价制度等方面内容进行自主评分，方案满分6分 ，每缺失一项内容扣</w:t>
            </w:r>
            <w:r>
              <w:rPr>
                <w:rFonts w:hint="eastAsia" w:ascii="宋体" w:hAnsi="宋体" w:cs="宋体"/>
                <w:b w:val="0"/>
                <w:bCs/>
                <w:color w:val="auto"/>
                <w:kern w:val="2"/>
                <w:sz w:val="21"/>
                <w:szCs w:val="21"/>
                <w:highlight w:val="none"/>
                <w:lang w:val="en-US" w:eastAsia="zh-CN" w:bidi="ar-SA"/>
              </w:rPr>
              <w:t>1.5</w:t>
            </w:r>
            <w:r>
              <w:rPr>
                <w:rFonts w:hint="eastAsia" w:ascii="宋体" w:hAnsi="宋体" w:eastAsia="宋体" w:cs="宋体"/>
                <w:b w:val="0"/>
                <w:bCs/>
                <w:color w:val="auto"/>
                <w:kern w:val="2"/>
                <w:sz w:val="21"/>
                <w:szCs w:val="21"/>
                <w:highlight w:val="none"/>
                <w:lang w:val="en-US" w:eastAsia="zh-CN" w:bidi="ar-SA"/>
              </w:rPr>
              <w:t>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28E0AFDB">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6分</w:t>
            </w:r>
          </w:p>
        </w:tc>
      </w:tr>
      <w:tr w14:paraId="59A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Merge w:val="continue"/>
            <w:noWrap w:val="0"/>
            <w:vAlign w:val="center"/>
          </w:tcPr>
          <w:p w14:paraId="48E2E7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color w:val="auto"/>
                <w:sz w:val="21"/>
                <w:szCs w:val="21"/>
                <w:highlight w:val="none"/>
                <w:lang w:val="en-US" w:eastAsia="zh-CN"/>
              </w:rPr>
            </w:pPr>
          </w:p>
        </w:tc>
        <w:tc>
          <w:tcPr>
            <w:tcW w:w="1590" w:type="dxa"/>
            <w:noWrap w:val="0"/>
            <w:vAlign w:val="center"/>
          </w:tcPr>
          <w:p w14:paraId="06F4EB1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.应急保障</w:t>
            </w:r>
          </w:p>
          <w:p w14:paraId="71F5C47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服务方案</w:t>
            </w:r>
          </w:p>
          <w:p w14:paraId="5C1141F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5139" w:type="dxa"/>
            <w:noWrap w:val="0"/>
            <w:vAlign w:val="center"/>
          </w:tcPr>
          <w:p w14:paraId="44487A55">
            <w:pPr>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对比采购需求，投标人提供的方案：包括但不限于：①应急组织体系与职责分工②突发事件类型与预警响应机制 ③应急处置流程与措施④应急保障与后期处置等内容进行自主评分；方案满分6分 ，每缺失一项内容扣1.5分；每有一项内容存在一处缺陷（缺陷是指方案内容不符合项目实际要求、描述不详细、缺乏针对性、缺乏可操作性、不合理、内容缺少关键节点、前后相互矛盾、存在无法实现预期目标的风险等）扣0.5分，扣完为止。本项最低分为0分。</w:t>
            </w:r>
          </w:p>
        </w:tc>
        <w:tc>
          <w:tcPr>
            <w:tcW w:w="1041" w:type="dxa"/>
            <w:noWrap w:val="0"/>
            <w:vAlign w:val="center"/>
          </w:tcPr>
          <w:p w14:paraId="0C05E0A1">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w:t>
            </w:r>
          </w:p>
        </w:tc>
      </w:tr>
      <w:tr w14:paraId="5435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9" w:type="dxa"/>
            <w:gridSpan w:val="3"/>
            <w:noWrap w:val="0"/>
            <w:vAlign w:val="center"/>
          </w:tcPr>
          <w:p w14:paraId="23B16596">
            <w:pPr>
              <w:pageBreakBefore w:val="0"/>
              <w:tabs>
                <w:tab w:val="left" w:pos="425"/>
              </w:tabs>
              <w:kinsoku/>
              <w:wordWrap/>
              <w:overflowPunct/>
              <w:topLinePunct w:val="0"/>
              <w:autoSpaceDE/>
              <w:autoSpaceDN/>
              <w:bidi w:val="0"/>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 计</w:t>
            </w:r>
          </w:p>
        </w:tc>
        <w:tc>
          <w:tcPr>
            <w:tcW w:w="1041" w:type="dxa"/>
            <w:noWrap w:val="0"/>
            <w:vAlign w:val="center"/>
          </w:tcPr>
          <w:p w14:paraId="0161C382">
            <w:pPr>
              <w:pageBreakBefore w:val="0"/>
              <w:tabs>
                <w:tab w:val="left" w:pos="425"/>
              </w:tabs>
              <w:kinsoku/>
              <w:wordWrap/>
              <w:overflowPunct/>
              <w:topLinePunct w:val="0"/>
              <w:autoSpaceDE/>
              <w:autoSpaceDN/>
              <w:bidi w:val="0"/>
              <w:spacing w:line="360" w:lineRule="auto"/>
              <w:ind w:firstLine="210" w:firstLineChars="10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100分</w:t>
            </w:r>
          </w:p>
        </w:tc>
      </w:tr>
    </w:tbl>
    <w:p w14:paraId="5A099FE7">
      <w:pPr>
        <w:widowControl w:val="0"/>
        <w:snapToGrid w:val="0"/>
        <w:spacing w:after="120" w:line="240" w:lineRule="auto"/>
        <w:ind w:left="0" w:leftChars="0" w:firstLine="0" w:firstLineChars="0"/>
        <w:jc w:val="both"/>
        <w:rPr>
          <w:rFonts w:hint="eastAsia" w:ascii="宋体" w:hAnsi="宋体" w:eastAsia="宋体" w:cs="宋体"/>
          <w:b/>
          <w:bCs/>
          <w:color w:val="auto"/>
          <w:kern w:val="2"/>
          <w:sz w:val="21"/>
          <w:szCs w:val="21"/>
          <w:lang w:val="en-US" w:eastAsia="zh-CN" w:bidi="ar-SA"/>
        </w:rPr>
      </w:pPr>
    </w:p>
    <w:p w14:paraId="11233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8216A"/>
    <w:multiLevelType w:val="singleLevel"/>
    <w:tmpl w:val="8C38216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82674"/>
    <w:rsid w:val="01F17D21"/>
    <w:rsid w:val="07CD206E"/>
    <w:rsid w:val="092C7268"/>
    <w:rsid w:val="0B9F0B46"/>
    <w:rsid w:val="0D0B03AD"/>
    <w:rsid w:val="1C427076"/>
    <w:rsid w:val="20B421BD"/>
    <w:rsid w:val="2A9957F0"/>
    <w:rsid w:val="2F82249D"/>
    <w:rsid w:val="351A1F67"/>
    <w:rsid w:val="36940077"/>
    <w:rsid w:val="36E030E1"/>
    <w:rsid w:val="38066D52"/>
    <w:rsid w:val="3AE52E16"/>
    <w:rsid w:val="3C996383"/>
    <w:rsid w:val="3D682674"/>
    <w:rsid w:val="43A77F59"/>
    <w:rsid w:val="43D903CE"/>
    <w:rsid w:val="529E5A1D"/>
    <w:rsid w:val="54A61249"/>
    <w:rsid w:val="5FAD4A84"/>
    <w:rsid w:val="63732129"/>
    <w:rsid w:val="638D705F"/>
    <w:rsid w:val="68A02BA2"/>
    <w:rsid w:val="70E003D0"/>
    <w:rsid w:val="7A632918"/>
    <w:rsid w:val="7EB6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240" w:lineRule="auto"/>
      <w:ind w:left="420" w:leftChars="200" w:firstLine="420" w:firstLineChars="200"/>
    </w:pPr>
    <w:rPr>
      <w:sz w:val="21"/>
      <w:szCs w:val="21"/>
    </w:rPr>
  </w:style>
  <w:style w:type="paragraph" w:styleId="3">
    <w:name w:val="Body Text Indent"/>
    <w:basedOn w:val="1"/>
    <w:next w:val="2"/>
    <w:qFormat/>
    <w:uiPriority w:val="0"/>
    <w:pPr>
      <w:snapToGrid w:val="0"/>
      <w:spacing w:line="360" w:lineRule="auto"/>
      <w:ind w:firstLine="538" w:firstLineChars="192"/>
    </w:pPr>
    <w:rPr>
      <w:rFonts w:ascii="仿宋_GB2312" w:eastAsia="仿宋_GB2312"/>
      <w:bCs/>
      <w:sz w:val="28"/>
      <w:szCs w:val="28"/>
    </w:r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3021</Words>
  <Characters>3184</Characters>
  <Lines>0</Lines>
  <Paragraphs>0</Paragraphs>
  <TotalTime>4</TotalTime>
  <ScaleCrop>false</ScaleCrop>
  <LinksUpToDate>false</LinksUpToDate>
  <CharactersWithSpaces>3205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2025-12-04T02:05:00Z</dcterms:created>
  <dc:creator>若汐</dc:creator>
  <cp:lastModifiedBy>若汐</cp:lastModifiedBy>
  <cp:lastPrinted>2026-02-05T02:32:00Z</cp:lastPrinted>
  <dcterms:modified xsi:type="dcterms:W3CDTF">2026-02-05T09:46:30Z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8AE9DFB1A02448C2BE1EA7FB01C11BE0_13</vt:lpwstr>
  </property>
  <property fmtid="{D5CDD505-2E9C-101B-9397-08002B2CF9AE}" pid="4" name="KSOTemplateDocerSaveRecord">
    <vt:lpwstr>eyJoZGlkIjoiMzc4YmMzNzM4NjdjYzMyMzgzMjFjODdmOTMwNTE5MGIiLCJ1c2VySWQiOiI0NjIyNzg4MjAifQ==</vt:lpwstr>
  </property>
</Properties>
</file>