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kinsoku/>
        <w:wordWrap/>
        <w:overflowPunct/>
        <w:topLinePunct w:val="0"/>
        <w:autoSpaceDE/>
        <w:autoSpaceDN/>
        <w:bidi w:val="0"/>
        <w:adjustRightInd/>
        <w:snapToGrid/>
        <w:spacing w:line="560" w:lineRule="exact"/>
        <w:jc w:val="both"/>
        <w:textAlignment w:val="auto"/>
        <w:rPr>
          <w:rFonts w:hint="default" w:ascii="方正黑体_GBK" w:hAnsi="方正黑体_GBK" w:eastAsia="方正黑体_GBK" w:cs="方正黑体_GBK"/>
          <w:color w:val="000000"/>
          <w:kern w:val="0"/>
          <w:sz w:val="32"/>
          <w:szCs w:val="32"/>
          <w:lang w:val="en-US" w:eastAsia="zh-CN" w:bidi="ar"/>
        </w:rPr>
      </w:pPr>
      <w:r>
        <w:rPr>
          <w:rFonts w:hint="eastAsia" w:ascii="方正黑体_GBK" w:hAnsi="方正黑体_GBK" w:eastAsia="方正黑体_GBK" w:cs="方正黑体_GBK"/>
          <w:color w:val="000000"/>
          <w:kern w:val="0"/>
          <w:sz w:val="32"/>
          <w:szCs w:val="32"/>
          <w:lang w:val="en-US" w:eastAsia="zh-CN" w:bidi="ar"/>
        </w:rPr>
        <w:t>附件</w:t>
      </w:r>
    </w:p>
    <w:p>
      <w:pPr>
        <w:pStyle w:val="25"/>
        <w:bidi w:val="0"/>
        <w:rPr>
          <w:rFonts w:hint="eastAsia"/>
          <w:color w:val="000000" w:themeColor="text1"/>
          <w:highlight w:val="none"/>
          <w:lang w:val="en-US" w:eastAsia="zh-CN"/>
          <w14:textFill>
            <w14:solidFill>
              <w14:schemeClr w14:val="tx1"/>
            </w14:solidFill>
          </w14:textFill>
        </w:rPr>
      </w:pPr>
    </w:p>
    <w:p>
      <w:pPr>
        <w:pStyle w:val="25"/>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海口市进一步优化营</w:t>
      </w:r>
      <w:bookmarkStart w:id="0" w:name="_GoBack"/>
      <w:bookmarkEnd w:id="0"/>
      <w:r>
        <w:rPr>
          <w:rFonts w:hint="eastAsia"/>
          <w:color w:val="000000" w:themeColor="text1"/>
          <w:highlight w:val="none"/>
          <w:lang w:val="en-US" w:eastAsia="zh-CN"/>
          <w14:textFill>
            <w14:solidFill>
              <w14:schemeClr w14:val="tx1"/>
            </w14:solidFill>
          </w14:textFill>
        </w:rPr>
        <w:t>商环境行动方案</w:t>
      </w:r>
    </w:p>
    <w:p>
      <w:pPr>
        <w:pStyle w:val="25"/>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（2026-2028年）</w:t>
      </w:r>
    </w:p>
    <w:p>
      <w:pPr>
        <w:pStyle w:val="25"/>
        <w:bidi w:val="0"/>
        <w:rPr>
          <w:rFonts w:hint="eastAsia" w:ascii="楷体_GB2312" w:hAnsi="楷体_GB2312" w:eastAsia="楷体_GB2312" w:cs="楷体_GB2312"/>
          <w:color w:val="000000" w:themeColor="text1"/>
          <w:sz w:val="28"/>
          <w:szCs w:val="28"/>
          <w:highlight w:val="none"/>
          <w:lang w:val="en-US" w:eastAsia="zh-CN"/>
          <w14:textFill>
            <w14:solidFill>
              <w14:schemeClr w14:val="tx1"/>
            </w14:solidFill>
          </w14:textFill>
        </w:rPr>
      </w:pPr>
      <w:r>
        <w:rPr>
          <w:rFonts w:hint="eastAsia" w:ascii="楷体_GB2312" w:hAnsi="楷体_GB2312" w:eastAsia="楷体_GB2312" w:cs="楷体_GB2312"/>
          <w:color w:val="000000" w:themeColor="text1"/>
          <w:sz w:val="28"/>
          <w:szCs w:val="28"/>
          <w:highlight w:val="none"/>
          <w:lang w:val="en-US" w:eastAsia="zh-CN"/>
          <w14:textFill>
            <w14:solidFill>
              <w14:schemeClr w14:val="tx1"/>
            </w14:solidFill>
          </w14:textFill>
        </w:rPr>
        <w:t>（征求意见稿）</w:t>
      </w:r>
    </w:p>
    <w:p>
      <w:pPr>
        <w:pStyle w:val="25"/>
        <w:bidi w:val="0"/>
        <w:jc w:val="both"/>
        <w:rPr>
          <w:rFonts w:hint="eastAsia" w:ascii="楷体_GB2312" w:hAnsi="楷体_GB2312" w:eastAsia="楷体_GB2312" w:cs="楷体_GB2312"/>
          <w:color w:val="000000" w:themeColor="text1"/>
          <w:sz w:val="28"/>
          <w:szCs w:val="28"/>
          <w:highlight w:val="none"/>
          <w:lang w:val="en-US" w:eastAsia="zh-CN"/>
          <w14:textFill>
            <w14:solidFill>
              <w14:schemeClr w14:val="tx1"/>
            </w14:solidFill>
          </w14:textFill>
        </w:rPr>
      </w:pPr>
    </w:p>
    <w:p>
      <w:pPr>
        <w:pStyle w:val="3"/>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为落实党中央、国务院关于优化营商环境和政务服务的决策部署，锚定打造市场化、法治化、国际化一流的营商环境目标，开展</w:t>
      </w:r>
      <w:r>
        <w:rPr>
          <w:rFonts w:hint="eastAsia"/>
          <w:color w:val="000000" w:themeColor="text1"/>
          <w:highlight w:val="none"/>
          <w14:textFill>
            <w14:solidFill>
              <w14:schemeClr w14:val="tx1"/>
            </w14:solidFill>
          </w14:textFill>
        </w:rPr>
        <w:t>创新开放驱动</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政务效能提升</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要素集聚赋能</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市场监管增效</w:t>
      </w:r>
      <w:r>
        <w:rPr>
          <w:rFonts w:hint="eastAsia"/>
          <w:color w:val="000000" w:themeColor="text1"/>
          <w:highlight w:val="none"/>
          <w:lang w:val="en-US" w:eastAsia="zh-CN"/>
          <w14:textFill>
            <w14:solidFill>
              <w14:schemeClr w14:val="tx1"/>
            </w14:solidFill>
          </w14:textFill>
        </w:rPr>
        <w:t>、</w:t>
      </w:r>
      <w:r>
        <w:rPr>
          <w:rFonts w:hint="eastAsia"/>
          <w:color w:val="000000" w:themeColor="text1"/>
          <w:highlight w:val="none"/>
          <w14:textFill>
            <w14:solidFill>
              <w14:schemeClr w14:val="tx1"/>
            </w14:solidFill>
          </w14:textFill>
        </w:rPr>
        <w:t>法治建设护航</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14:textFill>
            <w14:solidFill>
              <w14:schemeClr w14:val="tx1"/>
            </w14:solidFill>
          </w14:textFill>
        </w:rPr>
        <w:t>信用体系提质</w:t>
      </w:r>
      <w:r>
        <w:rPr>
          <w:rFonts w:hint="eastAsia"/>
          <w:color w:val="000000" w:themeColor="text1"/>
          <w:highlight w:val="none"/>
          <w:lang w:val="en-US" w:eastAsia="zh-CN"/>
          <w14:textFill>
            <w14:solidFill>
              <w14:schemeClr w14:val="tx1"/>
            </w14:solidFill>
          </w14:textFill>
        </w:rPr>
        <w:t>六大专项行动，着力建设公平有序的市场化营商环境、稳定公正的法治化营商环境、开放融通的国际化营商环境、规范高效的政务服务环境，推动海口市营商环境整体跃升，制定本方案。</w:t>
      </w:r>
    </w:p>
    <w:p>
      <w:pPr>
        <w:pStyle w:val="2"/>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一、指导思想</w:t>
      </w:r>
    </w:p>
    <w:p>
      <w:pPr>
        <w:pStyle w:val="3"/>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坚持以习近平新时代中国特色社会主义思想为指导，深入学习贯彻党的二十届四中全会精神和习近平总书记在听取海南自由贸易港建设工作汇报时的重要讲话精神，全面落实省委八届八次全会部署及市委十四届九次全会精神。坚持有效市场和有为政府相结合。充分发挥市场在资源配置中的决定性作用，构建统一、开放、竞争、有序的市场体系，打造市场化、法治化、国际化一流营商环境，为加快自由贸易港核心引领区和“六个之城”建设提供更加有力支撑，努力在实现把海南自由贸易港打造成为引领我国新时代对外开放重要门户的战略目标中扛起省会担当。</w:t>
      </w:r>
    </w:p>
    <w:p>
      <w:pPr>
        <w:pStyle w:val="2"/>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二、工作目标</w:t>
      </w:r>
    </w:p>
    <w:p>
      <w:pPr>
        <w:pStyle w:val="3"/>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2026年，在政策红利、高效服务方面做好“加法”，在降低企业成本负担、解决营商环境突出问题方面做好“减法”，在法治化放大制度优势、数智化倍增改革效能方面做好“乘法”。在破除市场隐形壁垒、清除监管套利乱象方面做好“除法”。初步建成制度规则统一、市场设施联通、要素配置高效、监管公平公正的市场环境，市场基础制度机制更加完善，要素获取、资质认定等领域隐性壁垒全面破除，“高效办成一件事”走深走实，企业诉求一体化集成联动机制高效运转，“标准化+非标准化”服务模式提质增效，六大专项行动取得阶段成效。</w:t>
      </w:r>
    </w:p>
    <w:p>
      <w:pPr>
        <w:pStyle w:val="3"/>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2027年，建立健全政府和企业沟通的长效机制，营商环境系统性解决方案更加完善，政务服务持续优化，政企协同解决问题，市场监管执法持续规范，流通规则标准体系更加健全，企业生产经营成本持续下降，社会信用体系建设示范区成果持续巩固，形成“放得活”与“管得好”相协调治理格局，六大专项行动取得明显成效。</w:t>
      </w:r>
    </w:p>
    <w:p>
      <w:pPr>
        <w:pStyle w:val="3"/>
        <w:bidi w:val="0"/>
        <w:rPr>
          <w:rFonts w:hint="eastAsia"/>
          <w:color w:val="000000" w:themeColor="text1"/>
          <w:highlight w:val="none"/>
          <w:lang w:val="en-US" w:eastAsia="zh-CN"/>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2028年，市场竞争环境与要素配置进一步优化，企业诉求响应机制完善，惠企政策效能落实，科技成果转化体系健全，人才服务保障措施完善，高端创新人才集聚，法治保障坚实，营商环境整体水平位居全国前列，以营商环境的整体优化带动经济社会全面发展的整体升级。</w:t>
      </w:r>
    </w:p>
    <w:p>
      <w:pPr>
        <w:pStyle w:val="2"/>
        <w:bidi w:val="0"/>
        <w:rPr>
          <w:rFonts w:hint="default" w:eastAsia="仿宋_GB2312"/>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三、工作任务</w:t>
      </w:r>
    </w:p>
    <w:p>
      <w:pPr>
        <w:pStyle w:val="4"/>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（一）实施创新开放驱动行动</w:t>
      </w:r>
    </w:p>
    <w:p>
      <w:pPr>
        <w:pStyle w:val="3"/>
        <w:rPr>
          <w:rFonts w:hint="default"/>
          <w:color w:val="000000" w:themeColor="text1"/>
          <w:highlight w:val="none"/>
          <w14:textFill>
            <w14:solidFill>
              <w14:schemeClr w14:val="tx1"/>
            </w14:solidFill>
          </w14:textFill>
        </w:rPr>
      </w:pPr>
      <w:r>
        <w:rPr>
          <w:rStyle w:val="44"/>
          <w:rFonts w:hint="eastAsia" w:cs="仿宋_GB2312"/>
          <w:b/>
          <w:bCs/>
          <w:color w:val="000000" w:themeColor="text1"/>
          <w:highlight w:val="none"/>
          <w:lang w:val="en-US" w:eastAsia="zh-CN"/>
          <w14:textFill>
            <w14:solidFill>
              <w14:schemeClr w14:val="tx1"/>
            </w14:solidFill>
          </w14:textFill>
        </w:rPr>
        <w:t>1</w:t>
      </w:r>
      <w:r>
        <w:rPr>
          <w:rStyle w:val="44"/>
          <w:rFonts w:hint="eastAsia" w:ascii="仿宋_GB2312" w:hAnsi="仿宋_GB2312" w:eastAsia="仿宋_GB2312" w:cs="仿宋_GB2312"/>
          <w:b/>
          <w:bCs/>
          <w:color w:val="000000" w:themeColor="text1"/>
          <w:highlight w:val="none"/>
          <w14:textFill>
            <w14:solidFill>
              <w14:schemeClr w14:val="tx1"/>
            </w14:solidFill>
          </w14:textFill>
        </w:rPr>
        <w:t>.加大创新发展政策支持力度。</w:t>
      </w:r>
      <w:r>
        <w:rPr>
          <w:rFonts w:hint="default"/>
          <w:color w:val="000000" w:themeColor="text1"/>
          <w:highlight w:val="none"/>
          <w14:textFill>
            <w14:solidFill>
              <w14:schemeClr w14:val="tx1"/>
            </w14:solidFill>
          </w14:textFill>
        </w:rPr>
        <w:t>系统深化科技体制机制改革，以“揭榜挂帅”“先投后股”等市场化手段为核心，建立贯穿基础研究、技术攻关到产业化的高效协同创新政策体系。聚焦企业信用培育需求，鼓励产业链配套企业共同申请，针对重点产业开展企业集团式培育。</w:t>
      </w:r>
      <w:r>
        <w:rPr>
          <w:rFonts w:hint="eastAsia"/>
          <w:color w:val="000000" w:themeColor="text1"/>
          <w:highlight w:val="none"/>
          <w:lang w:val="en-US" w:eastAsia="zh-CN"/>
          <w14:textFill>
            <w14:solidFill>
              <w14:schemeClr w14:val="tx1"/>
            </w14:solidFill>
          </w14:textFill>
        </w:rPr>
        <w:t>支持科技领军企业牵头组建创新联合体，以产业链亟待解决的难点堵点为攻关需求，推动企业带头开放应用场景、亲自参与攻关，推动实现攻关成果真正为用户所需。</w:t>
      </w:r>
      <w:r>
        <w:rPr>
          <w:rFonts w:hint="default"/>
          <w:color w:val="000000" w:themeColor="text1"/>
          <w:highlight w:val="none"/>
          <w14:textFill>
            <w14:solidFill>
              <w14:schemeClr w14:val="tx1"/>
            </w14:solidFill>
          </w14:textFill>
        </w:rPr>
        <w:t>加大高级认证企业培育，推动AEO高级认证企业数量持续增长。充分释放自贸港数据跨境流动政策红利，构建安全、有序、高效的国际数据基础设施与管理服务体系，打造面向“两个基地”建设的数字贸易枢纽。推行重点产业精准化人才服务机制，实施科技人才和生物医药产业人才政策，制定出台吸引数字游民集聚创业若干措施，构建“引育用留”的全链条人才发展生态。加快科创支持政策“科研券”奖励资金兑现，优先将审核通过的医药企业“科研券”奖励资金按承诺及时发放至各有关企业，提升企业获得感。</w:t>
      </w:r>
    </w:p>
    <w:p>
      <w:pPr>
        <w:pStyle w:val="3"/>
        <w:rPr>
          <w:rFonts w:hint="eastAsia" w:eastAsia="仿宋_GB2312"/>
          <w:color w:val="000000" w:themeColor="text1"/>
          <w:highlight w:val="none"/>
          <w:lang w:eastAsia="zh-CN"/>
          <w14:textFill>
            <w14:solidFill>
              <w14:schemeClr w14:val="tx1"/>
            </w14:solidFill>
          </w14:textFill>
        </w:rPr>
      </w:pPr>
      <w:r>
        <w:rPr>
          <w:rStyle w:val="44"/>
          <w:rFonts w:hint="eastAsia" w:cs="仿宋_GB2312"/>
          <w:b/>
          <w:bCs/>
          <w:color w:val="000000" w:themeColor="text1"/>
          <w:highlight w:val="none"/>
          <w:lang w:val="en-US" w:eastAsia="zh-CN"/>
          <w14:textFill>
            <w14:solidFill>
              <w14:schemeClr w14:val="tx1"/>
            </w14:solidFill>
          </w14:textFill>
        </w:rPr>
        <w:t>2</w:t>
      </w:r>
      <w:r>
        <w:rPr>
          <w:rStyle w:val="44"/>
          <w:rFonts w:hint="eastAsia" w:ascii="仿宋_GB2312" w:hAnsi="仿宋_GB2312" w:eastAsia="仿宋_GB2312" w:cs="仿宋_GB2312"/>
          <w:b/>
          <w:bCs/>
          <w:color w:val="000000" w:themeColor="text1"/>
          <w:highlight w:val="none"/>
          <w14:textFill>
            <w14:solidFill>
              <w14:schemeClr w14:val="tx1"/>
            </w14:solidFill>
          </w14:textFill>
        </w:rPr>
        <w:t>.加快促进产业聚集。</w:t>
      </w:r>
      <w:r>
        <w:rPr>
          <w:rStyle w:val="44"/>
          <w:rFonts w:hint="default" w:ascii="仿宋_GB2312" w:hAnsi="仿宋_GB2312" w:eastAsia="仿宋_GB2312" w:cs="仿宋_GB2312"/>
          <w:b w:val="0"/>
          <w:bCs w:val="0"/>
          <w:color w:val="000000" w:themeColor="text1"/>
          <w:highlight w:val="none"/>
          <w14:textFill>
            <w14:solidFill>
              <w14:schemeClr w14:val="tx1"/>
            </w14:solidFill>
          </w14:textFill>
        </w:rPr>
        <w:t>依托“乐城研用+海口生产”等独特优势，聚焦生物药、创新化药、高端医疗器械、南药黎药及美妆大健康赛道，打造研发、中试、生产、国际注册全链条的高附加值生物医药产业集群，推动各园区部分产业形成产业链互补协作体系。</w:t>
      </w:r>
      <w:r>
        <w:rPr>
          <w:rFonts w:hint="default"/>
          <w:color w:val="000000" w:themeColor="text1"/>
          <w:highlight w:val="none"/>
          <w14:textFill>
            <w14:solidFill>
              <w14:schemeClr w14:val="tx1"/>
            </w14:solidFill>
          </w14:textFill>
        </w:rPr>
        <w:t>以芯片设计、先进封装和智能传感器为突破口，推动芯片设计、封装测试、设备材料产业链集群协同发展。以复兴城为核心载体，利用数据跨境政策，做大做强互联网广告、游戏出海、来数加工等特色数字服务，同时夯实国际数据基础设施，建设服务国内国际双循环的数字经济平台经济枢纽。推动空港综保区扩区获批，推进保税维修在途项目落地,推动保税维修产业扩围，推动更多外贸综合服务平台企业落地运营。充分发挥驻粤招商专班等“前沿阵地”作用，瞄准先进制造、半导体、生物医药、数字经济等重点产业，主动对接目标企业；围绕高端制造、数字经济、航运物流等主导产业，开展专业化、精准化招商</w:t>
      </w:r>
      <w:r>
        <w:rPr>
          <w:rFonts w:hint="eastAsia"/>
          <w:color w:val="000000" w:themeColor="text1"/>
          <w:highlight w:val="none"/>
          <w:lang w:eastAsia="zh-CN"/>
          <w14:textFill>
            <w14:solidFill>
              <w14:schemeClr w14:val="tx1"/>
            </w14:solidFill>
          </w14:textFill>
        </w:rPr>
        <w:t>。</w:t>
      </w:r>
    </w:p>
    <w:p>
      <w:pPr>
        <w:pStyle w:val="3"/>
        <w:ind w:firstLine="666"/>
        <w:rPr>
          <w:rFonts w:hint="default" w:eastAsia="仿宋_GB2312"/>
          <w:color w:val="000000" w:themeColor="text1"/>
          <w:highlight w:val="none"/>
          <w:lang w:val="en-US" w:eastAsia="zh-CN"/>
          <w14:textFill>
            <w14:solidFill>
              <w14:schemeClr w14:val="tx1"/>
            </w14:solidFill>
          </w14:textFill>
        </w:rPr>
      </w:pPr>
      <w:r>
        <w:rPr>
          <w:rStyle w:val="44"/>
          <w:rFonts w:hint="eastAsia" w:cs="仿宋_GB2312"/>
          <w:b/>
          <w:bCs/>
          <w:color w:val="000000" w:themeColor="text1"/>
          <w:highlight w:val="none"/>
          <w:lang w:val="en-US" w:eastAsia="zh-CN"/>
          <w14:textFill>
            <w14:solidFill>
              <w14:schemeClr w14:val="tx1"/>
            </w14:solidFill>
          </w14:textFill>
        </w:rPr>
        <w:t>3.</w:t>
      </w:r>
      <w:r>
        <w:rPr>
          <w:rStyle w:val="44"/>
          <w:rFonts w:hint="eastAsia" w:ascii="仿宋_GB2312" w:hAnsi="仿宋_GB2312" w:eastAsia="仿宋_GB2312" w:cs="仿宋_GB2312"/>
          <w:b/>
          <w:bCs/>
          <w:color w:val="000000" w:themeColor="text1"/>
          <w:highlight w:val="none"/>
          <w14:textFill>
            <w14:solidFill>
              <w14:schemeClr w14:val="tx1"/>
            </w14:solidFill>
          </w14:textFill>
        </w:rPr>
        <w:t>推动重点园区高质量发展。</w:t>
      </w:r>
      <w:r>
        <w:rPr>
          <w:rFonts w:hint="default"/>
          <w:color w:val="000000" w:themeColor="text1"/>
          <w:highlight w:val="none"/>
          <w14:textFill>
            <w14:solidFill>
              <w14:schemeClr w14:val="tx1"/>
            </w14:solidFill>
          </w14:textFill>
        </w:rPr>
        <w:t>围绕集群产业</w:t>
      </w:r>
      <w:r>
        <w:rPr>
          <w:rFonts w:hint="eastAsia"/>
          <w:color w:val="000000" w:themeColor="text1"/>
          <w:highlight w:val="none"/>
          <w:lang w:eastAsia="zh-CN"/>
          <w14:textFill>
            <w14:solidFill>
              <w14:schemeClr w14:val="tx1"/>
            </w14:solidFill>
          </w14:textFill>
        </w:rPr>
        <w:t>发展</w:t>
      </w:r>
      <w:r>
        <w:rPr>
          <w:rFonts w:hint="default"/>
          <w:color w:val="000000" w:themeColor="text1"/>
          <w:highlight w:val="none"/>
          <w14:textFill>
            <w14:solidFill>
              <w14:schemeClr w14:val="tx1"/>
            </w14:solidFill>
          </w14:textFill>
        </w:rPr>
        <w:t>、项目招引、企业培育、创新能力、集约集聚、产业关联度等方面，开展重点产业集群提质增效行动，推动企业强链、补链、延链。加快推动各个园区实施产城融合，进一步完善电力、电镀、污水处理等产业配套，解决转供电供应问题,完善园区企业配套的供电设施，进一步完善生活生产便利化措施，提升招商、安商服务水平。</w:t>
      </w:r>
    </w:p>
    <w:p>
      <w:pPr>
        <w:pStyle w:val="3"/>
        <w:rPr>
          <w:rStyle w:val="44"/>
          <w:rFonts w:hint="eastAsia" w:ascii="仿宋_GB2312" w:hAnsi="仿宋_GB2312" w:eastAsia="仿宋_GB2312" w:cs="仿宋_GB2312"/>
          <w:color w:val="000000" w:themeColor="text1"/>
          <w:highlight w:val="none"/>
          <w14:textFill>
            <w14:solidFill>
              <w14:schemeClr w14:val="tx1"/>
            </w14:solidFill>
          </w14:textFill>
        </w:rPr>
      </w:pPr>
      <w:r>
        <w:rPr>
          <w:rStyle w:val="44"/>
          <w:rFonts w:hint="eastAsia" w:cs="仿宋_GB2312"/>
          <w:b/>
          <w:bCs/>
          <w:color w:val="000000" w:themeColor="text1"/>
          <w:highlight w:val="none"/>
          <w:lang w:val="en-US" w:eastAsia="zh-CN"/>
          <w14:textFill>
            <w14:solidFill>
              <w14:schemeClr w14:val="tx1"/>
            </w14:solidFill>
          </w14:textFill>
        </w:rPr>
        <w:t>4</w:t>
      </w:r>
      <w:r>
        <w:rPr>
          <w:rStyle w:val="44"/>
          <w:rFonts w:hint="eastAsia" w:ascii="仿宋_GB2312" w:hAnsi="仿宋_GB2312" w:eastAsia="仿宋_GB2312" w:cs="仿宋_GB2312"/>
          <w:b/>
          <w:bCs/>
          <w:color w:val="000000" w:themeColor="text1"/>
          <w:highlight w:val="none"/>
          <w14:textFill>
            <w14:solidFill>
              <w14:schemeClr w14:val="tx1"/>
            </w14:solidFill>
          </w14:textFill>
        </w:rPr>
        <w:t>.提升跨境贸易便利化水平。</w:t>
      </w:r>
      <w:r>
        <w:rPr>
          <w:rStyle w:val="44"/>
          <w:rFonts w:hint="eastAsia" w:ascii="仿宋_GB2312" w:hAnsi="仿宋_GB2312" w:eastAsia="仿宋_GB2312" w:cs="仿宋_GB2312"/>
          <w:color w:val="000000" w:themeColor="text1"/>
          <w:highlight w:val="none"/>
          <w14:textFill>
            <w14:solidFill>
              <w14:schemeClr w14:val="tx1"/>
            </w14:solidFill>
          </w14:textFill>
        </w:rPr>
        <w:t>持续优化“先放后检”等系列改革，深化“7×24小时预约通关、预约查验”服务机制，缩短物流时效</w:t>
      </w:r>
      <w:r>
        <w:rPr>
          <w:rStyle w:val="44"/>
          <w:rFonts w:hint="eastAsia" w:cs="仿宋_GB2312"/>
          <w:color w:val="000000" w:themeColor="text1"/>
          <w:highlight w:val="none"/>
          <w:lang w:eastAsia="zh-CN"/>
          <w14:textFill>
            <w14:solidFill>
              <w14:schemeClr w14:val="tx1"/>
            </w14:solidFill>
          </w14:textFill>
        </w:rPr>
        <w:t>，</w:t>
      </w:r>
      <w:r>
        <w:rPr>
          <w:rStyle w:val="44"/>
          <w:rFonts w:hint="eastAsia" w:ascii="仿宋_GB2312" w:hAnsi="仿宋_GB2312" w:eastAsia="仿宋_GB2312" w:cs="仿宋_GB2312"/>
          <w:color w:val="000000" w:themeColor="text1"/>
          <w:highlight w:val="none"/>
          <w14:textFill>
            <w14:solidFill>
              <w14:schemeClr w14:val="tx1"/>
            </w14:solidFill>
          </w14:textFill>
        </w:rPr>
        <w:t>精准服务重点领域，</w:t>
      </w:r>
      <w:r>
        <w:rPr>
          <w:rFonts w:hint="eastAsia"/>
          <w:color w:val="000000" w:themeColor="text1"/>
          <w:highlight w:val="none"/>
          <w14:textFill>
            <w14:solidFill>
              <w14:schemeClr w14:val="tx1"/>
            </w14:solidFill>
          </w14:textFill>
        </w:rPr>
        <w:t>对活体动物、冰鲜肉制品、水产品、蔬菜水果等鲜活易腐农食产品设立属地查验绿色通道，实施优先查验和“5＋2”预约查验</w:t>
      </w:r>
      <w:r>
        <w:rPr>
          <w:rFonts w:hint="eastAsia"/>
          <w:color w:val="000000" w:themeColor="text1"/>
          <w:highlight w:val="none"/>
          <w:lang w:eastAsia="zh-CN"/>
          <w14:textFill>
            <w14:solidFill>
              <w14:schemeClr w14:val="tx1"/>
            </w14:solidFill>
          </w14:textFill>
        </w:rPr>
        <w:t>。</w:t>
      </w:r>
      <w:r>
        <w:rPr>
          <w:rStyle w:val="44"/>
          <w:rFonts w:hint="eastAsia" w:ascii="仿宋_GB2312" w:hAnsi="仿宋_GB2312" w:eastAsia="仿宋_GB2312" w:cs="仿宋_GB2312"/>
          <w:color w:val="000000" w:themeColor="text1"/>
          <w:highlight w:val="none"/>
          <w14:textFill>
            <w14:solidFill>
              <w14:schemeClr w14:val="tx1"/>
            </w14:solidFill>
          </w14:textFill>
        </w:rPr>
        <w:t>推动智慧监管平台全面升级，推进“二线口岸”智能化建设</w:t>
      </w:r>
      <w:r>
        <w:rPr>
          <w:rStyle w:val="44"/>
          <w:rFonts w:hint="eastAsia" w:cs="仿宋_GB2312"/>
          <w:color w:val="000000" w:themeColor="text1"/>
          <w:highlight w:val="none"/>
          <w:lang w:eastAsia="zh-CN"/>
          <w14:textFill>
            <w14:solidFill>
              <w14:schemeClr w14:val="tx1"/>
            </w14:solidFill>
          </w14:textFill>
        </w:rPr>
        <w:t>，</w:t>
      </w:r>
      <w:r>
        <w:rPr>
          <w:rStyle w:val="44"/>
          <w:rFonts w:hint="eastAsia" w:ascii="仿宋_GB2312" w:hAnsi="仿宋_GB2312" w:eastAsia="仿宋_GB2312" w:cs="仿宋_GB2312"/>
          <w:color w:val="000000" w:themeColor="text1"/>
          <w:highlight w:val="none"/>
          <w14:textFill>
            <w14:solidFill>
              <w14:schemeClr w14:val="tx1"/>
            </w14:solidFill>
          </w14:textFill>
        </w:rPr>
        <w:t>推进海关、海事、边检等口岸监管部门数据共享共用</w:t>
      </w:r>
      <w:r>
        <w:rPr>
          <w:rStyle w:val="44"/>
          <w:rFonts w:hint="eastAsia" w:cs="仿宋_GB2312"/>
          <w:color w:val="000000" w:themeColor="text1"/>
          <w:highlight w:val="none"/>
          <w:lang w:eastAsia="zh-CN"/>
          <w14:textFill>
            <w14:solidFill>
              <w14:schemeClr w14:val="tx1"/>
            </w14:solidFill>
          </w14:textFill>
        </w:rPr>
        <w:t>，</w:t>
      </w:r>
      <w:r>
        <w:rPr>
          <w:rStyle w:val="44"/>
          <w:rFonts w:hint="eastAsia" w:ascii="仿宋_GB2312" w:hAnsi="仿宋_GB2312" w:eastAsia="仿宋_GB2312" w:cs="仿宋_GB2312"/>
          <w:color w:val="000000" w:themeColor="text1"/>
          <w:highlight w:val="none"/>
          <w14:textFill>
            <w14:solidFill>
              <w14:schemeClr w14:val="tx1"/>
            </w14:solidFill>
          </w14:textFill>
        </w:rPr>
        <w:t>为高效实施“二线口岸”海港“1+3”、空港“1+2”协同管理模式提供保障。</w:t>
      </w:r>
    </w:p>
    <w:p>
      <w:pPr>
        <w:pStyle w:val="3"/>
        <w:rPr>
          <w:rFonts w:hint="default"/>
          <w:color w:val="000000" w:themeColor="text1"/>
          <w:highlight w:val="none"/>
          <w14:textFill>
            <w14:solidFill>
              <w14:schemeClr w14:val="tx1"/>
            </w14:solidFill>
          </w14:textFill>
        </w:rPr>
      </w:pPr>
      <w:r>
        <w:rPr>
          <w:rStyle w:val="44"/>
          <w:rFonts w:hint="eastAsia" w:cs="仿宋_GB2312"/>
          <w:b/>
          <w:bCs/>
          <w:color w:val="000000" w:themeColor="text1"/>
          <w:highlight w:val="none"/>
          <w:lang w:val="en-US" w:eastAsia="zh-CN"/>
          <w14:textFill>
            <w14:solidFill>
              <w14:schemeClr w14:val="tx1"/>
            </w14:solidFill>
          </w14:textFill>
        </w:rPr>
        <w:t>5</w:t>
      </w:r>
      <w:r>
        <w:rPr>
          <w:rStyle w:val="44"/>
          <w:rFonts w:hint="eastAsia" w:ascii="仿宋_GB2312" w:hAnsi="仿宋_GB2312" w:eastAsia="仿宋_GB2312" w:cs="仿宋_GB2312"/>
          <w:b/>
          <w:bCs/>
          <w:color w:val="000000" w:themeColor="text1"/>
          <w:highlight w:val="none"/>
          <w14:textFill>
            <w14:solidFill>
              <w14:schemeClr w14:val="tx1"/>
            </w14:solidFill>
          </w14:textFill>
        </w:rPr>
        <w:t>.提升跨境贸易国际竞争力。</w:t>
      </w:r>
      <w:r>
        <w:rPr>
          <w:rFonts w:hint="default"/>
          <w:color w:val="000000" w:themeColor="text1"/>
          <w:highlight w:val="none"/>
          <w14:textFill>
            <w14:solidFill>
              <w14:schemeClr w14:val="tx1"/>
            </w14:solidFill>
          </w14:textFill>
        </w:rPr>
        <w:t>坚持高标准对</w:t>
      </w:r>
      <w:r>
        <w:rPr>
          <w:rFonts w:hint="eastAsia"/>
          <w:color w:val="000000" w:themeColor="text1"/>
          <w:highlight w:val="none"/>
          <w:lang w:eastAsia="zh-CN"/>
          <w14:textFill>
            <w14:solidFill>
              <w14:schemeClr w14:val="tx1"/>
            </w14:solidFill>
          </w14:textFill>
        </w:rPr>
        <w:t>接</w:t>
      </w:r>
      <w:r>
        <w:rPr>
          <w:rFonts w:hint="default"/>
          <w:color w:val="000000" w:themeColor="text1"/>
          <w:highlight w:val="none"/>
          <w14:textFill>
            <w14:solidFill>
              <w14:schemeClr w14:val="tx1"/>
            </w14:solidFill>
          </w14:textFill>
        </w:rPr>
        <w:t>国际经贸规则，有序扩大商品、服务、资本、劳务市场开放，培育形成一批对外开放典型案例,推动贸易进出口额持续增长。加大境外客运航线开拓力度；完善国内航线布局，瞄准国内优势航线，结合节假日文旅热度，引导航司加密北京、上海等需求旺盛航线，吸引高频旅客。</w:t>
      </w:r>
    </w:p>
    <w:p>
      <w:pPr>
        <w:pStyle w:val="3"/>
        <w:rPr>
          <w:rFonts w:hint="default"/>
          <w:color w:val="000000" w:themeColor="text1"/>
          <w:highlight w:val="none"/>
          <w14:textFill>
            <w14:solidFill>
              <w14:schemeClr w14:val="tx1"/>
            </w14:solidFill>
          </w14:textFill>
        </w:rPr>
      </w:pPr>
      <w:r>
        <w:rPr>
          <w:rStyle w:val="44"/>
          <w:rFonts w:hint="eastAsia" w:ascii="仿宋_GB2312" w:hAnsi="仿宋_GB2312" w:eastAsia="仿宋_GB2312" w:cs="仿宋_GB2312"/>
          <w:b/>
          <w:bCs/>
          <w:color w:val="000000" w:themeColor="text1"/>
          <w:highlight w:val="none"/>
          <w14:textFill>
            <w14:solidFill>
              <w14:schemeClr w14:val="tx1"/>
            </w14:solidFill>
          </w14:textFill>
        </w:rPr>
        <w:t>6.提升外籍人士工作生活便利度。</w:t>
      </w:r>
      <w:r>
        <w:rPr>
          <w:rFonts w:hint="eastAsia"/>
          <w:color w:val="000000" w:themeColor="text1"/>
          <w:highlight w:val="none"/>
          <w:lang w:eastAsia="zh-CN"/>
          <w14:textFill>
            <w14:solidFill>
              <w14:schemeClr w14:val="tx1"/>
            </w14:solidFill>
          </w14:textFill>
        </w:rPr>
        <w:t>鼓励有条件的</w:t>
      </w:r>
      <w:r>
        <w:rPr>
          <w:rFonts w:hint="default"/>
          <w:color w:val="000000" w:themeColor="text1"/>
          <w:highlight w:val="none"/>
          <w14:textFill>
            <w14:solidFill>
              <w14:schemeClr w14:val="tx1"/>
            </w14:solidFill>
          </w14:textFill>
        </w:rPr>
        <w:t>政务大厅设立国际服务专区，拓展涉外政务服务事项全流程办理</w:t>
      </w:r>
      <w:r>
        <w:rPr>
          <w:rFonts w:hint="default"/>
          <w:b w:val="0"/>
          <w:bCs w:val="0"/>
          <w:color w:val="000000" w:themeColor="text1"/>
          <w:highlight w:val="none"/>
          <w14:textFill>
            <w14:solidFill>
              <w14:schemeClr w14:val="tx1"/>
            </w14:solidFill>
          </w14:textFill>
        </w:rPr>
        <w:t>范围</w:t>
      </w:r>
      <w:r>
        <w:rPr>
          <w:rFonts w:hint="default"/>
          <w:color w:val="000000" w:themeColor="text1"/>
          <w:highlight w:val="none"/>
          <w14:textFill>
            <w14:solidFill>
              <w14:schemeClr w14:val="tx1"/>
            </w14:solidFill>
          </w14:textFill>
        </w:rPr>
        <w:t>，提升政务服务国际化服务能力。推动移民事务服务中心建设，搭建移民交流互动机制，为常住外籍人士提供政策咨询、居留旅行、法律援助、语言文化等社会融入服务，促进移民更好融入海口。建立健全外籍人士在海口便利化服务工作协调机制,进一步提升外籍人士工作生活便利化水平。</w:t>
      </w:r>
      <w:r>
        <w:rPr>
          <w:rFonts w:hint="eastAsia"/>
          <w:color w:val="000000" w:themeColor="text1"/>
          <w:highlight w:val="none"/>
          <w:lang w:eastAsia="zh-CN"/>
          <w14:textFill>
            <w14:solidFill>
              <w14:schemeClr w14:val="tx1"/>
            </w14:solidFill>
          </w14:textFill>
        </w:rPr>
        <w:t>推动</w:t>
      </w:r>
      <w:r>
        <w:rPr>
          <w:rFonts w:hint="default"/>
          <w:color w:val="000000" w:themeColor="text1"/>
          <w:highlight w:val="none"/>
          <w14:textFill>
            <w14:solidFill>
              <w14:schemeClr w14:val="tx1"/>
            </w14:solidFill>
          </w14:textFill>
        </w:rPr>
        <w:t>路名牌和公用设施标识牌中的中文、拼音、英文标识</w:t>
      </w:r>
      <w:r>
        <w:rPr>
          <w:rFonts w:hint="eastAsia"/>
          <w:color w:val="000000" w:themeColor="text1"/>
          <w:highlight w:val="none"/>
          <w:lang w:eastAsia="zh-CN"/>
          <w14:textFill>
            <w14:solidFill>
              <w14:schemeClr w14:val="tx1"/>
            </w14:solidFill>
          </w14:textFill>
        </w:rPr>
        <w:t>规范化建设</w:t>
      </w:r>
      <w:r>
        <w:rPr>
          <w:rFonts w:hint="default"/>
          <w:color w:val="000000" w:themeColor="text1"/>
          <w:highlight w:val="none"/>
          <w14:textFill>
            <w14:solidFill>
              <w14:schemeClr w14:val="tx1"/>
            </w14:solidFill>
          </w14:textFill>
        </w:rPr>
        <w:t>。完善国际人才引育机制，全面落实K字签证政策，探索建立境外职业资格比照认定职称制度。</w:t>
      </w:r>
    </w:p>
    <w:p>
      <w:pPr>
        <w:pStyle w:val="3"/>
        <w:rPr>
          <w:rFonts w:hint="default"/>
          <w:color w:val="000000" w:themeColor="text1"/>
          <w:highlight w:val="none"/>
          <w:lang w:val="en-US" w:eastAsia="zh-CN"/>
          <w14:textFill>
            <w14:solidFill>
              <w14:schemeClr w14:val="tx1"/>
            </w14:solidFill>
          </w14:textFill>
        </w:rPr>
      </w:pPr>
      <w:r>
        <w:rPr>
          <w:rStyle w:val="44"/>
          <w:rFonts w:hint="eastAsia" w:ascii="仿宋_GB2312" w:hAnsi="仿宋_GB2312" w:eastAsia="仿宋_GB2312" w:cs="仿宋_GB2312"/>
          <w:b/>
          <w:bCs/>
          <w:color w:val="000000" w:themeColor="text1"/>
          <w:highlight w:val="none"/>
          <w14:textFill>
            <w14:solidFill>
              <w14:schemeClr w14:val="tx1"/>
            </w14:solidFill>
          </w14:textFill>
        </w:rPr>
        <w:t>7.打造国际一流旅游消费环境。</w:t>
      </w:r>
      <w:r>
        <w:rPr>
          <w:rFonts w:hint="eastAsia"/>
          <w:color w:val="000000" w:themeColor="text1"/>
          <w:highlight w:val="none"/>
          <w:lang w:eastAsia="zh-CN"/>
          <w14:textFill>
            <w14:solidFill>
              <w14:schemeClr w14:val="tx1"/>
            </w14:solidFill>
          </w14:textFill>
        </w:rPr>
        <w:t>依托海南省级</w:t>
      </w:r>
      <w:r>
        <w:rPr>
          <w:rFonts w:hint="default"/>
          <w:color w:val="000000" w:themeColor="text1"/>
          <w:highlight w:val="none"/>
          <w14:textFill>
            <w14:solidFill>
              <w14:schemeClr w14:val="tx1"/>
            </w14:solidFill>
          </w14:textFill>
        </w:rPr>
        <w:t>智慧旅游平台，提供</w:t>
      </w:r>
      <w:r>
        <w:rPr>
          <w:rFonts w:hint="eastAsia"/>
          <w:color w:val="000000" w:themeColor="text1"/>
          <w:highlight w:val="none"/>
          <w:lang w:eastAsia="zh-CN"/>
          <w14:textFill>
            <w14:solidFill>
              <w14:schemeClr w14:val="tx1"/>
            </w14:solidFill>
          </w14:textFill>
        </w:rPr>
        <w:t>海口</w:t>
      </w:r>
      <w:r>
        <w:rPr>
          <w:rFonts w:hint="default"/>
          <w:color w:val="000000" w:themeColor="text1"/>
          <w:highlight w:val="none"/>
          <w14:textFill>
            <w14:solidFill>
              <w14:schemeClr w14:val="tx1"/>
            </w14:solidFill>
          </w14:textFill>
        </w:rPr>
        <w:t>智能导览、预订、投诉等一站式服务，在重点商圈、景区、酒店全面优化外卡支付、外币兑换、多语种服务等便利度。系统引进高品质演唱会、音乐节、戏剧演出及国际性体育赛事，打造国际演艺之都</w:t>
      </w:r>
      <w:r>
        <w:rPr>
          <w:rFonts w:hint="eastAsia"/>
          <w:color w:val="000000" w:themeColor="text1"/>
          <w:highlight w:val="none"/>
          <w:lang w:eastAsia="zh-CN"/>
          <w14:textFill>
            <w14:solidFill>
              <w14:schemeClr w14:val="tx1"/>
            </w14:solidFill>
          </w14:textFill>
        </w:rPr>
        <w:t>和体育赛事名城，</w:t>
      </w:r>
      <w:r>
        <w:rPr>
          <w:rFonts w:hint="default"/>
          <w:color w:val="000000" w:themeColor="text1"/>
          <w:highlight w:val="none"/>
          <w14:textFill>
            <w14:solidFill>
              <w14:schemeClr w14:val="tx1"/>
            </w14:solidFill>
          </w14:textFill>
        </w:rPr>
        <w:t>依托中国国际消费品博览会等平台，打造专业消费类展会。利用好离岛免税政策，鼓励免税店引入国际一线品牌，丰富商品种类</w:t>
      </w:r>
      <w:r>
        <w:rPr>
          <w:rFonts w:hint="eastAsia"/>
          <w:color w:val="000000" w:themeColor="text1"/>
          <w:highlight w:val="none"/>
          <w:lang w:eastAsia="zh-CN"/>
          <w14:textFill>
            <w14:solidFill>
              <w14:schemeClr w14:val="tx1"/>
            </w14:solidFill>
          </w14:textFill>
        </w:rPr>
        <w:t>，</w:t>
      </w:r>
      <w:r>
        <w:rPr>
          <w:rFonts w:hint="default"/>
          <w:color w:val="000000" w:themeColor="text1"/>
          <w:highlight w:val="none"/>
          <w14:textFill>
            <w14:solidFill>
              <w14:schemeClr w14:val="tx1"/>
            </w14:solidFill>
          </w14:textFill>
        </w:rPr>
        <w:t>推进岛内居民免税购物网点布局，提升免税业务对社会的贡献度。打造空海联运特色旅游线路产品</w:t>
      </w:r>
      <w:r>
        <w:rPr>
          <w:rFonts w:hint="eastAsia"/>
          <w:color w:val="000000" w:themeColor="text1"/>
          <w:highlight w:val="none"/>
          <w:lang w:eastAsia="zh-CN"/>
          <w14:textFill>
            <w14:solidFill>
              <w14:schemeClr w14:val="tx1"/>
            </w14:solidFill>
          </w14:textFill>
        </w:rPr>
        <w:t>，</w:t>
      </w:r>
      <w:r>
        <w:rPr>
          <w:rFonts w:hint="default"/>
          <w:color w:val="000000" w:themeColor="text1"/>
          <w:highlight w:val="none"/>
          <w14:textFill>
            <w14:solidFill>
              <w14:schemeClr w14:val="tx1"/>
            </w14:solidFill>
          </w14:textFill>
        </w:rPr>
        <w:t>推动文商旅体协同联动发展，策划设计适合国际游客的文旅新产品、新业态、新场景，全面推进“走出去”“请进来”双向推广战略。</w:t>
      </w:r>
    </w:p>
    <w:p>
      <w:pPr>
        <w:pStyle w:val="4"/>
        <w:bidi w:val="0"/>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（二）</w:t>
      </w:r>
      <w:r>
        <w:rPr>
          <w:rFonts w:hint="eastAsia" w:ascii="Times New Roman" w:hAnsi="Times New Roman"/>
          <w:color w:val="000000" w:themeColor="text1"/>
          <w:highlight w:val="none"/>
          <w:lang w:val="en-US" w:eastAsia="zh-CN"/>
          <w14:textFill>
            <w14:solidFill>
              <w14:schemeClr w14:val="tx1"/>
            </w14:solidFill>
          </w14:textFill>
        </w:rPr>
        <w:t>实施</w:t>
      </w:r>
      <w:r>
        <w:rPr>
          <w:rFonts w:hint="eastAsia"/>
          <w:color w:val="000000" w:themeColor="text1"/>
          <w:highlight w:val="none"/>
          <w:lang w:val="en-US" w:eastAsia="zh-CN"/>
          <w14:textFill>
            <w14:solidFill>
              <w14:schemeClr w14:val="tx1"/>
            </w14:solidFill>
          </w14:textFill>
        </w:rPr>
        <w:t>政务效能提升行动</w:t>
      </w:r>
    </w:p>
    <w:p>
      <w:pPr>
        <w:pStyle w:val="3"/>
        <w:rPr>
          <w:rFonts w:hint="eastAsia"/>
          <w:b w:val="0"/>
          <w:bCs w:val="0"/>
          <w:strike w:val="0"/>
          <w:dstrike w:val="0"/>
          <w:color w:val="000000" w:themeColor="text1"/>
          <w:highlight w:val="none"/>
          <w:lang w:val="en-US" w:eastAsia="zh-CN"/>
          <w14:textFill>
            <w14:solidFill>
              <w14:schemeClr w14:val="tx1"/>
            </w14:solidFill>
          </w14:textFill>
        </w:rPr>
      </w:pP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8.健全“高效办成一件事”常态化机制。</w:t>
      </w:r>
      <w:r>
        <w:rPr>
          <w:rFonts w:hint="eastAsia"/>
          <w:b w:val="0"/>
          <w:bCs w:val="0"/>
          <w:strike w:val="0"/>
          <w:dstrike w:val="0"/>
          <w:color w:val="000000" w:themeColor="text1"/>
          <w:highlight w:val="none"/>
          <w14:textFill>
            <w14:solidFill>
              <w14:schemeClr w14:val="tx1"/>
            </w14:solidFill>
          </w14:textFill>
        </w:rPr>
        <w:t>聚焦通关便利、数字经济、低空经济、海洋经济、航空航天、热带特色高效农业及现代服务业等重点领域，健全“高效办成一件事”服务体系；推动银行、医院、电信等社会公共服务事项纳入该体系，提升整体服务水准</w:t>
      </w:r>
      <w:r>
        <w:rPr>
          <w:rFonts w:hint="eastAsia"/>
          <w:b w:val="0"/>
          <w:bCs w:val="0"/>
          <w:strike w:val="0"/>
          <w:dstrike w:val="0"/>
          <w:color w:val="000000" w:themeColor="text1"/>
          <w:highlight w:val="none"/>
          <w:lang w:eastAsia="zh-CN"/>
          <w14:textFill>
            <w14:solidFill>
              <w14:schemeClr w14:val="tx1"/>
            </w14:solidFill>
          </w14:textFill>
        </w:rPr>
        <w:t>；</w:t>
      </w:r>
      <w:r>
        <w:rPr>
          <w:rFonts w:hint="eastAsia"/>
          <w:b w:val="0"/>
          <w:bCs w:val="0"/>
          <w:strike w:val="0"/>
          <w:dstrike w:val="0"/>
          <w:color w:val="000000" w:themeColor="text1"/>
          <w:highlight w:val="none"/>
          <w14:textFill>
            <w14:solidFill>
              <w14:schemeClr w14:val="tx1"/>
            </w14:solidFill>
          </w14:textFill>
        </w:rPr>
        <w:t>结合自贸港及海口市的建设需求，持续拓展涉外服务等“一类事”集成服务</w:t>
      </w:r>
      <w:r>
        <w:rPr>
          <w:rFonts w:hint="eastAsia"/>
          <w:b w:val="0"/>
          <w:bCs w:val="0"/>
          <w:strike w:val="0"/>
          <w:dstrike w:val="0"/>
          <w:color w:val="000000" w:themeColor="text1"/>
          <w:highlight w:val="none"/>
          <w:lang w:eastAsia="zh-CN"/>
          <w14:textFill>
            <w14:solidFill>
              <w14:schemeClr w14:val="tx1"/>
            </w14:solidFill>
          </w14:textFill>
        </w:rPr>
        <w:t>。</w:t>
      </w:r>
      <w:r>
        <w:rPr>
          <w:rFonts w:hint="default"/>
          <w:color w:val="000000" w:themeColor="text1"/>
          <w:highlight w:val="none"/>
          <w14:textFill>
            <w14:solidFill>
              <w14:schemeClr w14:val="tx1"/>
            </w14:solidFill>
          </w14:textFill>
        </w:rPr>
        <w:t>提升不动产登记便利度</w:t>
      </w:r>
      <w:r>
        <w:rPr>
          <w:rFonts w:hint="eastAsia"/>
          <w:color w:val="000000" w:themeColor="text1"/>
          <w:highlight w:val="none"/>
          <w:lang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推行不动</w:t>
      </w:r>
      <w:r>
        <w:rPr>
          <w:rFonts w:hint="eastAsia"/>
          <w:b w:val="0"/>
          <w:bCs w:val="0"/>
          <w:strike w:val="0"/>
          <w:dstrike w:val="0"/>
          <w:color w:val="000000" w:themeColor="text1"/>
          <w:highlight w:val="none"/>
          <w:lang w:val="en-US" w:eastAsia="zh-CN"/>
          <w14:textFill>
            <w14:solidFill>
              <w14:schemeClr w14:val="tx1"/>
            </w14:solidFill>
          </w14:textFill>
        </w:rPr>
        <w:t>产登记“微改革”，实现抵押权预告登记自动转正、农房验收即可办证，持续拓展“一件事一次办”应用场景。</w:t>
      </w:r>
    </w:p>
    <w:p>
      <w:pPr>
        <w:pStyle w:val="3"/>
        <w:ind w:firstLine="666"/>
        <w:rPr>
          <w:rFonts w:hint="eastAsia"/>
          <w:color w:val="000000" w:themeColor="text1"/>
          <w:highlight w:val="none"/>
          <w:lang w:val="en-US" w:eastAsia="zh-CN"/>
          <w14:textFill>
            <w14:solidFill>
              <w14:schemeClr w14:val="tx1"/>
            </w14:solidFill>
          </w14:textFill>
        </w:rPr>
      </w:pPr>
      <w:r>
        <w:rPr>
          <w:rStyle w:val="44"/>
          <w:rFonts w:hint="default" w:ascii="仿宋_GB2312" w:hAnsi="仿宋_GB2312" w:eastAsia="仿宋_GB2312" w:cs="仿宋_GB2312"/>
          <w:b/>
          <w:bCs/>
          <w:color w:val="000000" w:themeColor="text1"/>
          <w:highlight w:val="none"/>
          <w:lang w:eastAsia="zh-CN"/>
          <w14:textFill>
            <w14:solidFill>
              <w14:schemeClr w14:val="tx1"/>
            </w14:solidFill>
          </w14:textFill>
        </w:rPr>
        <w:t>9</w:t>
      </w: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.深化“标准化+非标准化”企业服务机制。</w:t>
      </w:r>
      <w:r>
        <w:rPr>
          <w:rFonts w:hint="eastAsia"/>
          <w:color w:val="000000" w:themeColor="text1"/>
          <w:highlight w:val="none"/>
          <w:lang w:val="en-US" w:eastAsia="zh-CN"/>
          <w14:textFill>
            <w14:solidFill>
              <w14:schemeClr w14:val="tx1"/>
            </w14:solidFill>
          </w14:textFill>
        </w:rPr>
        <w:t>聚焦标准化建设，精准对接产业实际和市场需求，优化梳理企业开办、项目审批、政策兑现等高频基础服务事项，确保企业对基础服务“看得懂、办得通、少跑腿”。推动惠企政策更加“可用管用好用”，让更多政策服务实现智能匹配、快速兑现，切实保障基础服务公平可及、高效便捷。聚焦非标准化服务，针对高频非标事项将个案复盘提炼共性经验转化为标准化服务框架，形成“受理—办理—复盘—转化—推广”的闭环，实现“个性服务有温度、执行过程有章法、经验沉淀促规范”的服务模式。聚焦“非标转标准”机制建设，组织各部门协同创新、合力攻坚，推动“标准化+非标准化”服务在重点产业、关键领域、新兴业态等方面落地见效，精准破解企业个性化、特殊性难题，形成更多生动实践案例，为企业营造“无事不扰、有求必应”的企业服务环境。</w:t>
      </w:r>
    </w:p>
    <w:p>
      <w:pPr>
        <w:pStyle w:val="3"/>
        <w:ind w:firstLine="666"/>
        <w:rPr>
          <w:rFonts w:hint="eastAsia"/>
          <w:color w:val="000000" w:themeColor="text1"/>
          <w:highlight w:val="none"/>
          <w:lang w:val="en-US" w:eastAsia="zh-CN"/>
          <w14:textFill>
            <w14:solidFill>
              <w14:schemeClr w14:val="tx1"/>
            </w14:solidFill>
          </w14:textFill>
        </w:rPr>
      </w:pPr>
      <w:r>
        <w:rPr>
          <w:rStyle w:val="44"/>
          <w:rFonts w:hint="eastAsia" w:cs="仿宋_GB2312"/>
          <w:b/>
          <w:bCs/>
          <w:color w:val="000000" w:themeColor="text1"/>
          <w:highlight w:val="none"/>
          <w:lang w:val="en-US" w:eastAsia="zh-CN"/>
          <w14:textFill>
            <w14:solidFill>
              <w14:schemeClr w14:val="tx1"/>
            </w14:solidFill>
          </w14:textFill>
        </w:rPr>
        <w:t>10</w:t>
      </w: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.提升惠企政策</w:t>
      </w:r>
      <w:r>
        <w:rPr>
          <w:rFonts w:hint="eastAsia" w:cs="仿宋_GB2312"/>
          <w:b/>
          <w:bCs/>
          <w:color w:val="000000" w:themeColor="text1"/>
          <w:highlight w:val="none"/>
          <w:lang w:val="en-US" w:eastAsia="zh-CN"/>
          <w14:textFill>
            <w14:solidFill>
              <w14:schemeClr w14:val="tx1"/>
            </w14:solidFill>
          </w14:textFill>
        </w:rPr>
        <w:t>适用性和兑现及时性</w:t>
      </w: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针对优质企业存量少问题，参考先进城市经验，将奖励方向从“重数量”转向“重质量”，增设研发投入、成果转化等奖励维度，简化申报流程。推行惠企政策直达快享，加强与财政部门协调，优先保障惠企资金预算，建立“即申即审即兑”机制，对符合条件的企业通过“海易兑”平台实现“免申即享”。扩大政策宣传培训覆盖面，结合企业类型开展“定制化”辅导，建立政策跟踪评估机制，定期收集企业反馈，动态调整政策条款，落实财政奖补、产业扶持资金工作。</w:t>
      </w:r>
    </w:p>
    <w:p>
      <w:pPr>
        <w:pStyle w:val="3"/>
        <w:ind w:firstLine="666"/>
        <w:rPr>
          <w:rFonts w:hint="eastAsia"/>
          <w:color w:val="000000" w:themeColor="text1"/>
          <w:highlight w:val="none"/>
          <w:lang w:val="en-US" w:eastAsia="zh-CN"/>
          <w14:textFill>
            <w14:solidFill>
              <w14:schemeClr w14:val="tx1"/>
            </w14:solidFill>
          </w14:textFill>
        </w:rPr>
      </w:pPr>
      <w:r>
        <w:rPr>
          <w:rStyle w:val="44"/>
          <w:rFonts w:hint="default" w:ascii="仿宋_GB2312" w:hAnsi="仿宋_GB2312" w:eastAsia="仿宋_GB2312" w:cs="仿宋_GB2312"/>
          <w:b/>
          <w:bCs/>
          <w:color w:val="000000" w:themeColor="text1"/>
          <w:highlight w:val="none"/>
          <w:lang w:eastAsia="zh-CN"/>
          <w14:textFill>
            <w14:solidFill>
              <w14:schemeClr w14:val="tx1"/>
            </w14:solidFill>
          </w14:textFill>
        </w:rPr>
        <w:t>1</w:t>
      </w:r>
      <w:r>
        <w:rPr>
          <w:rStyle w:val="44"/>
          <w:rFonts w:hint="eastAsia" w:cs="仿宋_GB2312"/>
          <w:b/>
          <w:bCs/>
          <w:color w:val="000000" w:themeColor="text1"/>
          <w:highlight w:val="none"/>
          <w:lang w:val="en-US" w:eastAsia="zh-CN"/>
          <w14:textFill>
            <w14:solidFill>
              <w14:schemeClr w14:val="tx1"/>
            </w14:solidFill>
          </w14:textFill>
        </w:rPr>
        <w:t>1</w:t>
      </w: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.全面优化政务服务渠道建设。</w:t>
      </w:r>
      <w:r>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推进政务服务标准化建设，完善全市统一</w:t>
      </w:r>
      <w:r>
        <w:rPr>
          <w:rFonts w:hint="default" w:cs="仿宋_GB2312"/>
          <w:b w:val="0"/>
          <w:bCs w:val="0"/>
          <w:color w:val="000000" w:themeColor="text1"/>
          <w:kern w:val="2"/>
          <w:sz w:val="32"/>
          <w:szCs w:val="32"/>
          <w:highlight w:val="none"/>
          <w:lang w:eastAsia="zh-CN" w:bidi="ar-SA"/>
          <w14:textFill>
            <w14:solidFill>
              <w14:schemeClr w14:val="tx1"/>
            </w14:solidFill>
          </w14:textFill>
        </w:rPr>
        <w:t>政务服务场所6S管理</w:t>
      </w:r>
      <w:r>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标准，推动标准覆盖至火车站、医院等公共服务窗口，实现同标管理与同步监督。</w:t>
      </w:r>
      <w:r>
        <w:rPr>
          <w:rFonts w:hint="eastAsia" w:ascii="仿宋_GB2312" w:hAnsi="仿宋_GB2312" w:eastAsia="仿宋_GB2312" w:cs="仿宋_GB2312"/>
          <w:color w:val="000000" w:themeColor="text1"/>
          <w:kern w:val="21"/>
          <w:sz w:val="32"/>
          <w:szCs w:val="32"/>
          <w:highlight w:val="none"/>
          <w:lang w:val="en-US" w:eastAsia="zh-CN" w:bidi="ar-SA"/>
          <w14:textFill>
            <w14:solidFill>
              <w14:schemeClr w14:val="tx1"/>
            </w14:solidFill>
          </w14:textFill>
        </w:rPr>
        <w:t>建设涉海服务窗口，将海事、海关和边检等部门业务入驻市政务大厅，实现“一站式”办理</w:t>
      </w:r>
      <w:r>
        <w:rPr>
          <w:rFonts w:hint="eastAsia" w:ascii="仿宋_GB2312" w:hAnsi="仿宋_GB2312" w:eastAsia="仿宋_GB2312" w:cs="Times New Roman"/>
          <w:color w:val="000000" w:themeColor="text1"/>
          <w:spacing w:val="6"/>
          <w:kern w:val="0"/>
          <w:sz w:val="32"/>
          <w:szCs w:val="32"/>
          <w:highlight w:val="none"/>
          <w:lang w:val="en-US" w:eastAsia="zh-CN" w:bidi="ar-SA"/>
          <w14:textFill>
            <w14:solidFill>
              <w14:schemeClr w14:val="tx1"/>
            </w14:solidFill>
          </w14:textFill>
        </w:rPr>
        <w:t>。</w:t>
      </w:r>
      <w:r>
        <w:rPr>
          <w:rFonts w:hint="eastAsia" w:cs="Times New Roman"/>
          <w:color w:val="000000" w:themeColor="text1"/>
          <w:spacing w:val="6"/>
          <w:kern w:val="0"/>
          <w:sz w:val="32"/>
          <w:szCs w:val="32"/>
          <w:highlight w:val="none"/>
          <w:lang w:val="en-US" w:eastAsia="zh-CN" w:bidi="ar-SA"/>
          <w14:textFill>
            <w14:solidFill>
              <w14:schemeClr w14:val="tx1"/>
            </w14:solidFill>
          </w14:textFill>
        </w:rPr>
        <w:t>推动</w:t>
      </w:r>
      <w:r>
        <w:rPr>
          <w:rFonts w:hint="eastAsia" w:ascii="仿宋_GB2312" w:hAnsi="仿宋_GB2312" w:eastAsia="仿宋_GB2312" w:cs="Times New Roman"/>
          <w:color w:val="000000" w:themeColor="text1"/>
          <w:spacing w:val="6"/>
          <w:kern w:val="0"/>
          <w:sz w:val="32"/>
          <w:szCs w:val="32"/>
          <w:highlight w:val="none"/>
          <w:lang w:val="en-US" w:eastAsia="zh-CN" w:bidi="ar-SA"/>
          <w14:textFill>
            <w14:solidFill>
              <w14:schemeClr w14:val="tx1"/>
            </w14:solidFill>
          </w14:textFill>
        </w:rPr>
        <w:t>政务服务实现“一窗通办”，</w:t>
      </w:r>
      <w:r>
        <w:rPr>
          <w:rFonts w:hint="eastAsia" w:ascii="仿宋_GB2312" w:hAnsi="仿宋_GB2312" w:eastAsia="仿宋_GB2312" w:cs="Times New Roman"/>
          <w:strike w:val="0"/>
          <w:color w:val="000000" w:themeColor="text1"/>
          <w:spacing w:val="6"/>
          <w:kern w:val="0"/>
          <w:sz w:val="32"/>
          <w:szCs w:val="32"/>
          <w:highlight w:val="none"/>
          <w:lang w:val="en-US" w:eastAsia="zh-CN" w:bidi="ar-SA"/>
          <w14:textFill>
            <w14:solidFill>
              <w14:schemeClr w14:val="tx1"/>
            </w14:solidFill>
          </w14:textFill>
        </w:rPr>
        <w:t>进一步提升行政审批效能</w:t>
      </w:r>
      <w:r>
        <w:rPr>
          <w:rFonts w:hint="eastAsia" w:ascii="仿宋_GB2312" w:hAnsi="仿宋_GB2312" w:eastAsia="仿宋_GB2312" w:cs="Times New Roman"/>
          <w:color w:val="000000" w:themeColor="text1"/>
          <w:spacing w:val="6"/>
          <w:kern w:val="0"/>
          <w:sz w:val="32"/>
          <w:szCs w:val="32"/>
          <w:highlight w:val="none"/>
          <w:lang w:val="en-US" w:eastAsia="zh-CN" w:bidi="ar-SA"/>
          <w14:textFill>
            <w14:solidFill>
              <w14:schemeClr w14:val="tx1"/>
            </w14:solidFill>
          </w14:textFill>
        </w:rPr>
        <w:t>。</w:t>
      </w:r>
      <w:r>
        <w:rPr>
          <w:rFonts w:hint="eastAsia" w:cs="Times New Roman"/>
          <w:color w:val="000000" w:themeColor="text1"/>
          <w:spacing w:val="6"/>
          <w:kern w:val="0"/>
          <w:sz w:val="32"/>
          <w:szCs w:val="32"/>
          <w:highlight w:val="none"/>
          <w:lang w:val="en-US" w:eastAsia="zh-CN" w:bidi="ar-SA"/>
          <w14:textFill>
            <w14:solidFill>
              <w14:schemeClr w14:val="tx1"/>
            </w14:solidFill>
          </w14:textFill>
        </w:rPr>
        <w:t>完善企业注册咨询答复等信息在内的知识库建设，</w:t>
      </w:r>
      <w:r>
        <w:rPr>
          <w:rFonts w:hint="eastAsia" w:ascii="仿宋_GB2312" w:hAnsi="仿宋_GB2312" w:eastAsia="仿宋_GB2312" w:cs="Times New Roman"/>
          <w:color w:val="000000" w:themeColor="text1"/>
          <w:spacing w:val="6"/>
          <w:kern w:val="0"/>
          <w:sz w:val="32"/>
          <w:szCs w:val="32"/>
          <w:highlight w:val="none"/>
          <w:lang w:val="en-US" w:eastAsia="zh-CN" w:bidi="ar-SA"/>
          <w14:textFill>
            <w14:solidFill>
              <w14:schemeClr w14:val="tx1"/>
            </w14:solidFill>
          </w14:textFill>
        </w:rPr>
        <w:t>精准统一回应企业咨询及诉求。推动完善“海南E登记”关于法人认证体系、探索以律师公函等形式代替刷脸认证</w:t>
      </w:r>
      <w:r>
        <w:rPr>
          <w:rFonts w:hint="eastAsia" w:cs="Times New Roman"/>
          <w:color w:val="000000" w:themeColor="text1"/>
          <w:spacing w:val="6"/>
          <w:kern w:val="0"/>
          <w:sz w:val="32"/>
          <w:szCs w:val="32"/>
          <w:highlight w:val="none"/>
          <w:lang w:val="en-US" w:eastAsia="zh-CN" w:bidi="ar-SA"/>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推进线上办事“一网通办”，优化“海口市政务一体化”平台功能，推动从“网上可办”向“好办易办”转变，推动线上线下服务融合。</w:t>
      </w:r>
    </w:p>
    <w:p>
      <w:pPr>
        <w:pStyle w:val="3"/>
        <w:ind w:firstLine="666"/>
        <w:rPr>
          <w:rFonts w:hint="eastAsia"/>
          <w:color w:val="000000" w:themeColor="text1"/>
          <w:highlight w:val="none"/>
          <w:lang w:val="en-US" w:eastAsia="zh-CN"/>
          <w14:textFill>
            <w14:solidFill>
              <w14:schemeClr w14:val="tx1"/>
            </w14:solidFill>
          </w14:textFill>
        </w:rPr>
      </w:pP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1</w:t>
      </w:r>
      <w:r>
        <w:rPr>
          <w:rStyle w:val="44"/>
          <w:rFonts w:hint="eastAsia" w:cs="仿宋_GB2312"/>
          <w:b/>
          <w:bCs/>
          <w:color w:val="000000" w:themeColor="text1"/>
          <w:highlight w:val="none"/>
          <w:lang w:val="en-US" w:eastAsia="zh-CN"/>
          <w14:textFill>
            <w14:solidFill>
              <w14:schemeClr w14:val="tx1"/>
            </w14:solidFill>
          </w14:textFill>
        </w:rPr>
        <w:t>2</w:t>
      </w: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.深化政务服务模式创新改革。</w:t>
      </w:r>
      <w:r>
        <w:rPr>
          <w:rFonts w:hint="eastAsia" w:ascii="仿宋_GB2312" w:hAnsi="仿宋_GB2312" w:eastAsia="仿宋_GB2312" w:cs="Times New Roman"/>
          <w:color w:val="000000" w:themeColor="text1"/>
          <w:spacing w:val="6"/>
          <w:kern w:val="0"/>
          <w:sz w:val="32"/>
          <w:szCs w:val="32"/>
          <w:highlight w:val="none"/>
          <w:lang w:val="en-US" w:eastAsia="zh-CN" w:bidi="ar-SA"/>
          <w14:textFill>
            <w14:solidFill>
              <w14:schemeClr w14:val="tx1"/>
            </w14:solidFill>
          </w14:textFill>
        </w:rPr>
        <w:t>深化“极简审批”改革，持续拓展适用工程建设项目领域极简审批特殊规定的覆盖范围。鼓励各园区推广“标准地+承诺制+信用监管”模式，深入推进信用审批改革，推动和有条件的区域对优质信用企业扩大施工许可等环节“信用免审”范围，以守信激励推动审批提速。分批次推进实施综合许可改革和跨区域互认通用改革范围，配合推动规划、环评等评审结果跨区域互认。持续扩大实行告知承诺制等改革范围。试点二次供水“一证多址”改革，在试点成熟后，逐步向其他领域推广“一证多址”模式。</w:t>
      </w:r>
      <w:r>
        <w:rPr>
          <w:rFonts w:hint="eastAsia" w:cs="Times New Roman"/>
          <w:color w:val="000000" w:themeColor="text1"/>
          <w:spacing w:val="6"/>
          <w:kern w:val="0"/>
          <w:sz w:val="32"/>
          <w:szCs w:val="32"/>
          <w:highlight w:val="none"/>
          <w:lang w:val="en-US" w:eastAsia="zh-CN" w:bidi="ar-SA"/>
          <w14:textFill>
            <w14:solidFill>
              <w14:schemeClr w14:val="tx1"/>
            </w14:solidFill>
          </w14:textFill>
        </w:rPr>
        <w:t>规范中介服务，</w:t>
      </w:r>
      <w:r>
        <w:rPr>
          <w:rFonts w:hint="eastAsia"/>
          <w:color w:val="000000" w:themeColor="text1"/>
          <w:highlight w:val="none"/>
          <w:lang w:val="en-US" w:eastAsia="zh-CN"/>
          <w14:textFill>
            <w14:solidFill>
              <w14:schemeClr w14:val="tx1"/>
            </w14:solidFill>
          </w14:textFill>
        </w:rPr>
        <w:t>重点清理无法律法规及国务院决定依据的中介服务事项，对保留的强制性中介事项实行清单化管理并动态向社会公布。</w:t>
      </w:r>
    </w:p>
    <w:p>
      <w:pPr>
        <w:pStyle w:val="3"/>
        <w:rPr>
          <w:rFonts w:hint="eastAsia" w:ascii="仿宋_GB2312" w:hAnsi="仿宋_GB2312" w:eastAsia="仿宋_GB2312" w:cs="仿宋_GB2312"/>
          <w:color w:val="000000" w:themeColor="text1"/>
          <w:kern w:val="21"/>
          <w:sz w:val="32"/>
          <w:szCs w:val="32"/>
          <w:highlight w:val="none"/>
          <w:lang w:val="en-US" w:eastAsia="zh-CN" w:bidi="ar-SA"/>
          <w14:textFill>
            <w14:solidFill>
              <w14:schemeClr w14:val="tx1"/>
            </w14:solidFill>
          </w14:textFill>
        </w:rPr>
      </w:pP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1</w:t>
      </w:r>
      <w:r>
        <w:rPr>
          <w:rStyle w:val="44"/>
          <w:rFonts w:hint="eastAsia" w:cs="仿宋_GB2312"/>
          <w:b/>
          <w:bCs/>
          <w:color w:val="000000" w:themeColor="text1"/>
          <w:highlight w:val="none"/>
          <w:lang w:val="en-US" w:eastAsia="zh-CN"/>
          <w14:textFill>
            <w14:solidFill>
              <w14:schemeClr w14:val="tx1"/>
            </w14:solidFill>
          </w14:textFill>
        </w:rPr>
        <w:t>3</w:t>
      </w: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.数据赋能推动政务服务升级。</w:t>
      </w:r>
      <w:r>
        <w:rPr>
          <w:rFonts w:hint="eastAsia"/>
          <w:color w:val="000000" w:themeColor="text1"/>
          <w:highlight w:val="none"/>
          <w:lang w:val="en-US" w:eastAsia="zh-CN"/>
          <w14:textFill>
            <w14:solidFill>
              <w14:schemeClr w14:val="tx1"/>
            </w14:solidFill>
          </w14:textFill>
        </w:rPr>
        <w:t>建设智慧大厅，进一步优化企业开办、许可审批、公共服务等服务，依托省级统一平台，推进政务服务事项实现“智能导办”“智能客服”“智能表单”“智能知识库”等“AI+政务”改革，构建更完善的智能审批规则库，持续提升“智能审批”事项比例</w:t>
      </w:r>
      <w:r>
        <w:rPr>
          <w:rFonts w:hint="eastAsia" w:ascii="仿宋_GB2312" w:hAnsi="仿宋_GB2312" w:eastAsia="仿宋_GB2312" w:cs="仿宋_GB2312"/>
          <w:color w:val="000000" w:themeColor="text1"/>
          <w:kern w:val="21"/>
          <w:sz w:val="32"/>
          <w:szCs w:val="32"/>
          <w:highlight w:val="none"/>
          <w:lang w:val="en-US" w:eastAsia="zh-CN" w:bidi="ar-SA"/>
          <w14:textFill>
            <w14:solidFill>
              <w14:schemeClr w14:val="tx1"/>
            </w14:solidFill>
          </w14:textFill>
        </w:rPr>
        <w:t>。依托科技赋能实现海口区域内“跨域通打取证”与电子批文全覆盖</w:t>
      </w:r>
      <w:r>
        <w:rPr>
          <w:rFonts w:hint="eastAsia" w:cs="仿宋_GB2312"/>
          <w:color w:val="000000" w:themeColor="text1"/>
          <w:kern w:val="21"/>
          <w:sz w:val="32"/>
          <w:szCs w:val="32"/>
          <w:highlight w:val="none"/>
          <w:lang w:val="en-US" w:eastAsia="zh-CN" w:bidi="ar-SA"/>
          <w14:textFill>
            <w14:solidFill>
              <w14:schemeClr w14:val="tx1"/>
            </w14:solidFill>
          </w14:textFill>
        </w:rPr>
        <w:t>，推动实施“去实体照片化”证照制发改革，</w:t>
      </w:r>
      <w:r>
        <w:rPr>
          <w:rFonts w:hint="eastAsia" w:ascii="仿宋_GB2312" w:hAnsi="仿宋_GB2312" w:eastAsia="仿宋_GB2312" w:cs="仿宋_GB2312"/>
          <w:color w:val="000000" w:themeColor="text1"/>
          <w:kern w:val="21"/>
          <w:sz w:val="32"/>
          <w:szCs w:val="32"/>
          <w:highlight w:val="none"/>
          <w:lang w:val="en-US" w:eastAsia="zh-CN" w:bidi="ar-SA"/>
          <w14:textFill>
            <w14:solidFill>
              <w14:schemeClr w14:val="tx1"/>
            </w14:solidFill>
          </w14:textFill>
        </w:rPr>
        <w:t>同步推进“免证办”与“便民简证”改革，强化电子证照全链条应用，探索中英双语证明材料与证照到期主动提醒</w:t>
      </w:r>
      <w:r>
        <w:rPr>
          <w:rFonts w:hint="eastAsia" w:cs="仿宋_GB2312"/>
          <w:color w:val="000000" w:themeColor="text1"/>
          <w:kern w:val="21"/>
          <w:sz w:val="32"/>
          <w:szCs w:val="32"/>
          <w:highlight w:val="none"/>
          <w:lang w:val="en-US" w:eastAsia="zh-CN" w:bidi="ar-SA"/>
          <w14:textFill>
            <w14:solidFill>
              <w14:schemeClr w14:val="tx1"/>
            </w14:solidFill>
          </w14:textFill>
        </w:rPr>
        <w:t>及续证</w:t>
      </w:r>
      <w:r>
        <w:rPr>
          <w:rFonts w:hint="eastAsia" w:ascii="仿宋_GB2312" w:hAnsi="仿宋_GB2312" w:eastAsia="仿宋_GB2312" w:cs="仿宋_GB2312"/>
          <w:color w:val="000000" w:themeColor="text1"/>
          <w:kern w:val="21"/>
          <w:sz w:val="32"/>
          <w:szCs w:val="32"/>
          <w:highlight w:val="none"/>
          <w:lang w:val="en-US" w:eastAsia="zh-CN" w:bidi="ar-SA"/>
          <w14:textFill>
            <w14:solidFill>
              <w14:schemeClr w14:val="tx1"/>
            </w14:solidFill>
          </w14:textFill>
        </w:rPr>
        <w:t>服务</w:t>
      </w:r>
      <w:r>
        <w:rPr>
          <w:rFonts w:hint="eastAsia"/>
          <w:color w:val="000000" w:themeColor="text1"/>
          <w:highlight w:val="none"/>
          <w:lang w:val="en-US" w:eastAsia="zh-CN"/>
          <w14:textFill>
            <w14:solidFill>
              <w14:schemeClr w14:val="tx1"/>
            </w14:solidFill>
          </w14:textFill>
        </w:rPr>
        <w:t>。提高电子印章推广应用及登记效率，通过线上线下相结合的方式，广泛宣传电子印章的便利性，提高公众对电子印章的认知度和接受度，逐步推动电子印章在更多领域广泛应用，持续拓展企业电子印章应用场景。</w:t>
      </w:r>
    </w:p>
    <w:p>
      <w:pPr>
        <w:pStyle w:val="3"/>
        <w:rPr>
          <w:rFonts w:hint="eastAsia"/>
          <w:color w:val="000000" w:themeColor="text1"/>
          <w:highlight w:val="none"/>
          <w:lang w:val="en-US" w:eastAsia="zh-CN"/>
          <w14:textFill>
            <w14:solidFill>
              <w14:schemeClr w14:val="tx1"/>
            </w14:solidFill>
          </w14:textFill>
        </w:rPr>
      </w:pP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1</w:t>
      </w:r>
      <w:r>
        <w:rPr>
          <w:rStyle w:val="44"/>
          <w:rFonts w:hint="eastAsia" w:cs="仿宋_GB2312"/>
          <w:b/>
          <w:bCs/>
          <w:color w:val="000000" w:themeColor="text1"/>
          <w:highlight w:val="none"/>
          <w:lang w:val="en-US" w:eastAsia="zh-CN"/>
          <w14:textFill>
            <w14:solidFill>
              <w14:schemeClr w14:val="tx1"/>
            </w14:solidFill>
          </w14:textFill>
        </w:rPr>
        <w:t>4</w:t>
      </w: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.优化智慧12345服务体系。</w:t>
      </w:r>
      <w:r>
        <w:rPr>
          <w:rFonts w:hint="eastAsia"/>
          <w:color w:val="000000" w:themeColor="text1"/>
          <w:highlight w:val="none"/>
          <w:lang w:val="en-US" w:eastAsia="zh-CN"/>
          <w14:textFill>
            <w14:solidFill>
              <w14:schemeClr w14:val="tx1"/>
            </w14:solidFill>
          </w14:textFill>
        </w:rPr>
        <w:t>深化“12345+网格化+直通联办”工作机制改革，聚焦AI技术应用，引入大数据、大模型等前沿技术，推进热线平台集约化、智能化建设，提升服务效能。落实“网格吹哨、部门报到、接诉即办”要求，深化与“监督一张网”的融入联动，健全从诉求受理、分派办理、跟踪督办到结果反馈的全流程闭环管理机制。探索建立营商环境监测点，发挥商协会桥梁作用，主动感知并快速响应企业在生产经营中遇到的痛点、难点问题，确保企业诉求“事事有回音、件件有着落”，构建亲清统一的政商关系。</w:t>
      </w:r>
    </w:p>
    <w:p>
      <w:pPr>
        <w:pStyle w:val="3"/>
        <w:rPr>
          <w:rFonts w:hint="eastAsia" w:ascii="仿宋_GB2312" w:hAnsi="仿宋_GB2312" w:eastAsia="仿宋_GB2312" w:cs="仿宋_GB2312"/>
          <w:color w:val="000000" w:themeColor="text1"/>
          <w:highlight w:val="none"/>
          <w:lang w:val="en-US" w:eastAsia="zh-CN"/>
          <w14:textFill>
            <w14:solidFill>
              <w14:schemeClr w14:val="tx1"/>
            </w14:solidFill>
          </w14:textFill>
        </w:rPr>
      </w:pP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1</w:t>
      </w:r>
      <w:r>
        <w:rPr>
          <w:rStyle w:val="44"/>
          <w:rFonts w:hint="eastAsia" w:cs="仿宋_GB2312"/>
          <w:b/>
          <w:bCs/>
          <w:color w:val="000000" w:themeColor="text1"/>
          <w:highlight w:val="none"/>
          <w:lang w:val="en-US" w:eastAsia="zh-CN"/>
          <w14:textFill>
            <w14:solidFill>
              <w14:schemeClr w14:val="tx1"/>
            </w14:solidFill>
          </w14:textFill>
        </w:rPr>
        <w:t>5</w:t>
      </w: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.深化数字政府建设。</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按需推动全市政务数据归集，统筹开展政务数据目录梳理及数据治理工作，全面提升数据质量，保障政务数据真实、准确、完整，支持业务应用场景实际需要。在巩固报表压减成果的基础上，着力推动基层“一表通”从“减表”向“用数”深化。深入挖掘系统沉淀数据的价值，探索数据在社区治理、民生服务、风险预警等方面的分析应用场景。加强数据在部门间的共享利用，推动业务流程优化再造，提升数据赋能基层治理的实效。</w:t>
      </w:r>
    </w:p>
    <w:p>
      <w:pPr>
        <w:pStyle w:val="3"/>
        <w:ind w:firstLine="666"/>
        <w:rPr>
          <w:rFonts w:hint="eastAsia" w:ascii="仿宋_GB2312" w:hAnsi="仿宋_GB2312" w:eastAsia="仿宋_GB2312" w:cs="仿宋_GB2312"/>
          <w:color w:val="000000" w:themeColor="text1"/>
          <w:highlight w:val="none"/>
          <w:lang w:val="en-US" w:eastAsia="zh-CN"/>
          <w14:textFill>
            <w14:solidFill>
              <w14:schemeClr w14:val="tx1"/>
            </w14:solidFill>
          </w14:textFill>
        </w:rPr>
      </w:pP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1</w:t>
      </w:r>
      <w:r>
        <w:rPr>
          <w:rStyle w:val="44"/>
          <w:rFonts w:hint="eastAsia" w:cs="仿宋_GB2312"/>
          <w:b/>
          <w:bCs/>
          <w:color w:val="000000" w:themeColor="text1"/>
          <w:highlight w:val="none"/>
          <w:lang w:val="en-US" w:eastAsia="zh-CN"/>
          <w14:textFill>
            <w14:solidFill>
              <w14:schemeClr w14:val="tx1"/>
            </w14:solidFill>
          </w14:textFill>
        </w:rPr>
        <w:t>6</w:t>
      </w: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.推动与广深等地联动发展。</w:t>
      </w:r>
      <w:r>
        <w:rPr>
          <w:rFonts w:hint="eastAsia" w:cs="Times New Roman"/>
          <w:color w:val="000000" w:themeColor="text1"/>
          <w:highlight w:val="none"/>
          <w:lang w:val="en-US" w:eastAsia="zh-CN"/>
          <w14:textFill>
            <w14:solidFill>
              <w14:schemeClr w14:val="tx1"/>
            </w14:solidFill>
          </w14:textFill>
        </w:rPr>
        <w:t>加强在市场监管、数字赋能、法治保障、市场准入、信用信息等领域交流合作，推进政务服务跨省通办，实现企业注册、资质许可、社保医保、网络消费纠纷等高频事项“一网通办”“异地可办”，试点资质许可互认审批结果，实现不动产登记等事项异地通办，提高政务服务效率和质量，全面提升两地协同发展效能。</w:t>
      </w:r>
    </w:p>
    <w:p>
      <w:pPr>
        <w:pStyle w:val="4"/>
        <w:rPr>
          <w:rStyle w:val="23"/>
          <w:rFonts w:hint="eastAsia"/>
          <w:bCs/>
          <w:color w:val="000000" w:themeColor="text1"/>
          <w:highlight w:val="none"/>
          <w:lang w:val="en-US" w:eastAsia="zh-CN"/>
          <w14:textFill>
            <w14:solidFill>
              <w14:schemeClr w14:val="tx1"/>
            </w14:solidFill>
          </w14:textFill>
        </w:rPr>
      </w:pPr>
      <w:r>
        <w:rPr>
          <w:rStyle w:val="23"/>
          <w:rFonts w:hint="eastAsia"/>
          <w:bCs/>
          <w:color w:val="000000" w:themeColor="text1"/>
          <w:highlight w:val="none"/>
          <w:lang w:val="en-US" w:eastAsia="zh-CN"/>
          <w14:textFill>
            <w14:solidFill>
              <w14:schemeClr w14:val="tx1"/>
            </w14:solidFill>
          </w14:textFill>
        </w:rPr>
        <w:t>（三）实施要素集聚赋能行动</w:t>
      </w:r>
    </w:p>
    <w:p>
      <w:pPr>
        <w:pStyle w:val="3"/>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pPr>
      <w:r>
        <w:rPr>
          <w:rStyle w:val="44"/>
          <w:rFonts w:hint="eastAsia" w:cs="仿宋_GB2312"/>
          <w:b/>
          <w:bCs/>
          <w:color w:val="000000" w:themeColor="text1"/>
          <w:highlight w:val="none"/>
          <w:lang w:val="en-US" w:eastAsia="zh-CN"/>
          <w14:textFill>
            <w14:solidFill>
              <w14:schemeClr w14:val="tx1"/>
            </w14:solidFill>
          </w14:textFill>
        </w:rPr>
        <w:t>17</w:t>
      </w:r>
      <w:r>
        <w:rPr>
          <w:rStyle w:val="44"/>
          <w:rFonts w:hint="eastAsia" w:ascii="仿宋_GB2312" w:hAnsi="仿宋_GB2312" w:eastAsia="仿宋_GB2312" w:cs="仿宋_GB2312"/>
          <w:b/>
          <w:bCs/>
          <w:color w:val="000000" w:themeColor="text1"/>
          <w:highlight w:val="none"/>
          <w14:textFill>
            <w14:solidFill>
              <w14:schemeClr w14:val="tx1"/>
            </w14:solidFill>
          </w14:textFill>
        </w:rPr>
        <w:t>.加强物流体系建设。</w:t>
      </w:r>
      <w:r>
        <w:rPr>
          <w:rFonts w:hint="eastAsia"/>
          <w:color w:val="000000" w:themeColor="text1"/>
          <w:highlight w:val="none"/>
          <w:lang w:val="en-US" w:eastAsia="zh-CN"/>
          <w14:textFill>
            <w14:solidFill>
              <w14:schemeClr w14:val="tx1"/>
            </w14:solidFill>
          </w14:textFill>
        </w:rPr>
        <w:t>强化物流体系，为企业降低物流成本，推动省级物流园区新海陆岛物流园区建设，完善冷链物流与应急物流体系。</w:t>
      </w:r>
    </w:p>
    <w:p>
      <w:pPr>
        <w:pStyle w:val="3"/>
        <w:rPr>
          <w:rFonts w:hint="eastAsia"/>
          <w:color w:val="000000" w:themeColor="text1"/>
          <w:highlight w:val="none"/>
          <w:lang w:val="en-US" w:eastAsia="zh-CN"/>
          <w14:textFill>
            <w14:solidFill>
              <w14:schemeClr w14:val="tx1"/>
            </w14:solidFill>
          </w14:textFill>
        </w:rPr>
      </w:pP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1</w:t>
      </w:r>
      <w:r>
        <w:rPr>
          <w:rStyle w:val="44"/>
          <w:rFonts w:hint="eastAsia" w:cs="仿宋_GB2312"/>
          <w:b/>
          <w:bCs/>
          <w:color w:val="000000" w:themeColor="text1"/>
          <w:highlight w:val="none"/>
          <w:lang w:val="en-US" w:eastAsia="zh-CN"/>
          <w14:textFill>
            <w14:solidFill>
              <w14:schemeClr w14:val="tx1"/>
            </w14:solidFill>
          </w14:textFill>
        </w:rPr>
        <w:t>8</w:t>
      </w:r>
      <w:r>
        <w:rPr>
          <w:rStyle w:val="44"/>
          <w:rFonts w:hint="eastAsia" w:ascii="仿宋_GB2312" w:hAnsi="仿宋_GB2312" w:eastAsia="仿宋_GB2312" w:cs="仿宋_GB2312"/>
          <w:b/>
          <w:bCs/>
          <w:color w:val="000000" w:themeColor="text1"/>
          <w:highlight w:val="none"/>
          <w14:textFill>
            <w14:solidFill>
              <w14:schemeClr w14:val="tx1"/>
            </w14:solidFill>
          </w14:textFill>
        </w:rPr>
        <w:t>.提升经营场所便利度。</w:t>
      </w:r>
      <w:r>
        <w:rPr>
          <w:rFonts w:hint="eastAsia"/>
          <w:color w:val="000000" w:themeColor="text1"/>
          <w:highlight w:val="none"/>
          <w:lang w:val="en-US" w:eastAsia="zh-CN"/>
          <w14:textFill>
            <w14:solidFill>
              <w14:schemeClr w14:val="tx1"/>
            </w14:solidFill>
          </w14:textFill>
        </w:rPr>
        <w:t>围绕储备地等土地类型，推行工业项目“标准地+用地清单制”，明确投资、能耗、环境等控制性指标，保障重点项目用地。积极化解不动产登记历史遗留问题。加强招商引资的工作力度，引进省、市重点项目，根据年度土地供应计划的安排，完成年度土地供应任务，不断提升存量土地利用效率。</w:t>
      </w:r>
    </w:p>
    <w:p>
      <w:pPr>
        <w:pStyle w:val="3"/>
        <w:rPr>
          <w:rFonts w:hint="eastAsia"/>
          <w:color w:val="000000" w:themeColor="text1"/>
          <w:highlight w:val="none"/>
          <w:lang w:val="en-US" w:eastAsia="zh-CN"/>
          <w14:textFill>
            <w14:solidFill>
              <w14:schemeClr w14:val="tx1"/>
            </w14:solidFill>
          </w14:textFill>
        </w:rPr>
      </w:pP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19</w:t>
      </w:r>
      <w:r>
        <w:rPr>
          <w:rStyle w:val="44"/>
          <w:rFonts w:hint="eastAsia" w:ascii="仿宋_GB2312" w:hAnsi="仿宋_GB2312" w:eastAsia="仿宋_GB2312" w:cs="仿宋_GB2312"/>
          <w:b/>
          <w:bCs/>
          <w:color w:val="000000" w:themeColor="text1"/>
          <w:highlight w:val="none"/>
          <w14:textFill>
            <w14:solidFill>
              <w14:schemeClr w14:val="tx1"/>
            </w14:solidFill>
          </w14:textFill>
        </w:rPr>
        <w:t>.</w:t>
      </w:r>
      <w:r>
        <w:rPr>
          <w:rStyle w:val="44"/>
          <w:rFonts w:hint="eastAsia" w:ascii="仿宋_GB2312" w:hAnsi="仿宋_GB2312" w:eastAsia="仿宋_GB2312" w:cs="仿宋_GB2312"/>
          <w:b/>
          <w:bCs/>
          <w:color w:val="000000" w:themeColor="text1"/>
          <w:highlight w:val="none"/>
          <w:lang w:eastAsia="zh-CN"/>
          <w14:textFill>
            <w14:solidFill>
              <w14:schemeClr w14:val="tx1"/>
            </w14:solidFill>
          </w14:textFill>
        </w:rPr>
        <w:t>提升人力资源服务</w:t>
      </w:r>
      <w:r>
        <w:rPr>
          <w:rStyle w:val="44"/>
          <w:rFonts w:hint="eastAsia" w:cs="仿宋_GB2312"/>
          <w:b/>
          <w:bCs/>
          <w:color w:val="000000" w:themeColor="text1"/>
          <w:highlight w:val="none"/>
          <w:lang w:eastAsia="zh-CN"/>
          <w14:textFill>
            <w14:solidFill>
              <w14:schemeClr w14:val="tx1"/>
            </w14:solidFill>
          </w14:textFill>
        </w:rPr>
        <w:t>水平</w:t>
      </w:r>
      <w:r>
        <w:rPr>
          <w:rStyle w:val="44"/>
          <w:rFonts w:hint="eastAsia" w:ascii="仿宋_GB2312" w:hAnsi="仿宋_GB2312" w:eastAsia="仿宋_GB2312" w:cs="仿宋_GB2312"/>
          <w:b/>
          <w:bCs/>
          <w:color w:val="000000" w:themeColor="text1"/>
          <w:highlight w:val="none"/>
          <w14:textFill>
            <w14:solidFill>
              <w14:schemeClr w14:val="tx1"/>
            </w14:solidFill>
          </w14:textFill>
        </w:rPr>
        <w:t>。</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围绕</w:t>
      </w:r>
      <w:r>
        <w:rPr>
          <w:rFonts w:hint="eastAsia"/>
          <w:color w:val="000000" w:themeColor="text1"/>
          <w:highlight w:val="none"/>
          <w:lang w:val="en-US" w:eastAsia="zh-CN"/>
          <w14:textFill>
            <w14:solidFill>
              <w14:schemeClr w14:val="tx1"/>
            </w14:solidFill>
          </w14:textFill>
        </w:rPr>
        <w:t>生物医药、数字经济、临空经济等重点产业，深化校企合作。创新人才评价机制，支持符合条件的企业结合实际自主开展技能人才评价，允许重点企业自主举荐卓越工程师、技术技能人才，并给予安家补贴、岗位津贴等支持，形成以产引才、以才促产的良性循环。推动就业驿站与企业建立信息共享机制，提升供需精准匹配度，增强企业招聘服务的针对性。深化“跨省社保服务一张网”建设，拓展通办合作城市范围，便利流动人口。</w:t>
      </w:r>
    </w:p>
    <w:p>
      <w:pPr>
        <w:pStyle w:val="3"/>
        <w:rPr>
          <w:rFonts w:hint="eastAsia"/>
          <w:color w:val="000000" w:themeColor="text1"/>
          <w:highlight w:val="none"/>
          <w:lang w:val="en-US" w:eastAsia="zh-CN"/>
          <w14:textFill>
            <w14:solidFill>
              <w14:schemeClr w14:val="tx1"/>
            </w14:solidFill>
          </w14:textFill>
        </w:rPr>
      </w:pP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2</w:t>
      </w:r>
      <w:r>
        <w:rPr>
          <w:rStyle w:val="44"/>
          <w:rFonts w:hint="eastAsia" w:cs="仿宋_GB2312"/>
          <w:b/>
          <w:bCs/>
          <w:color w:val="000000" w:themeColor="text1"/>
          <w:highlight w:val="none"/>
          <w:lang w:val="en-US" w:eastAsia="zh-CN"/>
          <w14:textFill>
            <w14:solidFill>
              <w14:schemeClr w14:val="tx1"/>
            </w14:solidFill>
          </w14:textFill>
        </w:rPr>
        <w:t>0</w:t>
      </w:r>
      <w:r>
        <w:rPr>
          <w:rStyle w:val="44"/>
          <w:rFonts w:hint="eastAsia" w:ascii="仿宋_GB2312" w:hAnsi="仿宋_GB2312" w:eastAsia="仿宋_GB2312" w:cs="仿宋_GB2312"/>
          <w:b/>
          <w:bCs/>
          <w:color w:val="000000" w:themeColor="text1"/>
          <w:highlight w:val="none"/>
          <w14:textFill>
            <w14:solidFill>
              <w14:schemeClr w14:val="tx1"/>
            </w14:solidFill>
          </w14:textFill>
        </w:rPr>
        <w:t>.提升科技成果转化</w:t>
      </w:r>
      <w:r>
        <w:rPr>
          <w:rStyle w:val="44"/>
          <w:rFonts w:hint="eastAsia" w:ascii="仿宋_GB2312" w:hAnsi="仿宋_GB2312" w:eastAsia="仿宋_GB2312" w:cs="仿宋_GB2312"/>
          <w:b/>
          <w:bCs/>
          <w:color w:val="000000" w:themeColor="text1"/>
          <w:highlight w:val="none"/>
          <w:lang w:eastAsia="zh-CN"/>
          <w14:textFill>
            <w14:solidFill>
              <w14:schemeClr w14:val="tx1"/>
            </w14:solidFill>
          </w14:textFill>
        </w:rPr>
        <w:t>效能</w:t>
      </w:r>
      <w:r>
        <w:rPr>
          <w:rStyle w:val="44"/>
          <w:rFonts w:hint="eastAsia" w:ascii="仿宋_GB2312" w:hAnsi="仿宋_GB2312" w:eastAsia="仿宋_GB2312" w:cs="仿宋_GB2312"/>
          <w:b/>
          <w:bCs/>
          <w:color w:val="000000" w:themeColor="text1"/>
          <w:highlight w:val="none"/>
          <w14:textFill>
            <w14:solidFill>
              <w14:schemeClr w14:val="tx1"/>
            </w14:solidFill>
          </w14:textFill>
        </w:rPr>
        <w:t>。</w:t>
      </w:r>
      <w:r>
        <w:rPr>
          <w:rStyle w:val="44"/>
          <w:rFonts w:hint="eastAsia" w:ascii="仿宋_GB2312" w:hAnsi="仿宋_GB2312" w:eastAsia="仿宋_GB2312" w:cs="仿宋_GB2312"/>
          <w:b w:val="0"/>
          <w:bCs w:val="0"/>
          <w:color w:val="000000" w:themeColor="text1"/>
          <w:highlight w:val="none"/>
          <w:lang w:val="en-US" w:eastAsia="zh-CN"/>
          <w14:textFill>
            <w14:solidFill>
              <w14:schemeClr w14:val="tx1"/>
            </w14:solidFill>
          </w14:textFill>
        </w:rPr>
        <w:t>梯</w:t>
      </w:r>
      <w:r>
        <w:rPr>
          <w:rFonts w:hint="eastAsia"/>
          <w:strike w:val="0"/>
          <w:dstrike w:val="0"/>
          <w:color w:val="000000" w:themeColor="text1"/>
          <w:highlight w:val="none"/>
          <w:lang w:val="en-US" w:eastAsia="zh-CN"/>
          <w14:textFill>
            <w14:solidFill>
              <w14:schemeClr w14:val="tx1"/>
            </w14:solidFill>
          </w14:textFill>
        </w:rPr>
        <w:t>度培育高新技术企业、专精特新中小企业等。</w:t>
      </w:r>
      <w:r>
        <w:rPr>
          <w:rFonts w:hint="eastAsia"/>
          <w:color w:val="000000" w:themeColor="text1"/>
          <w:highlight w:val="none"/>
          <w:lang w:val="en-US" w:eastAsia="zh-CN"/>
          <w14:textFill>
            <w14:solidFill>
              <w14:schemeClr w14:val="tx1"/>
            </w14:solidFill>
          </w14:textFill>
        </w:rPr>
        <w:t>加大财税金融支持力度，设立科技型中小企业创新专项补贴；畅通产学研融合通道，定期组织“校企双进”专场对接，支持共建研发中心与成果转化基地；开展新技术新产品应用示范，在重点行业布局一批标杆应用场景与试点项目。</w:t>
      </w:r>
    </w:p>
    <w:p>
      <w:pPr>
        <w:pStyle w:val="3"/>
        <w:rPr>
          <w:rFonts w:hint="eastAsia"/>
          <w:color w:val="000000" w:themeColor="text1"/>
          <w:highlight w:val="none"/>
          <w:lang w:val="en-US" w:eastAsia="zh-CN"/>
          <w14:textFill>
            <w14:solidFill>
              <w14:schemeClr w14:val="tx1"/>
            </w14:solidFill>
          </w14:textFill>
        </w:rPr>
      </w:pP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2</w:t>
      </w:r>
      <w:r>
        <w:rPr>
          <w:rStyle w:val="44"/>
          <w:rFonts w:hint="eastAsia" w:cs="仿宋_GB2312"/>
          <w:b/>
          <w:bCs/>
          <w:color w:val="000000" w:themeColor="text1"/>
          <w:highlight w:val="none"/>
          <w:lang w:val="en-US" w:eastAsia="zh-CN"/>
          <w14:textFill>
            <w14:solidFill>
              <w14:schemeClr w14:val="tx1"/>
            </w14:solidFill>
          </w14:textFill>
        </w:rPr>
        <w:t>1</w:t>
      </w: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.推进智慧海口建设。</w:t>
      </w:r>
      <w:r>
        <w:rPr>
          <w:rFonts w:hint="eastAsia"/>
          <w:color w:val="000000" w:themeColor="text1"/>
          <w:highlight w:val="none"/>
          <w:lang w:val="en-US" w:eastAsia="zh-CN"/>
          <w14:textFill>
            <w14:solidFill>
              <w14:schemeClr w14:val="tx1"/>
            </w14:solidFill>
          </w14:textFill>
        </w:rPr>
        <w:t>加强高质量数据供给与创新，在重点产业、政务服务、文化建设、民生保障、社会治理等领域推动数据应用场景落地，以数据赋能助推智慧海口建设。</w:t>
      </w:r>
    </w:p>
    <w:p>
      <w:pPr>
        <w:pStyle w:val="3"/>
        <w:rPr>
          <w:rFonts w:hint="eastAsia" w:cs="Times New Roman"/>
          <w:color w:val="000000" w:themeColor="text1"/>
          <w:spacing w:val="6"/>
          <w:kern w:val="0"/>
          <w:sz w:val="32"/>
          <w:szCs w:val="32"/>
          <w:highlight w:val="none"/>
          <w:lang w:val="en-US" w:eastAsia="zh-CN" w:bidi="ar-SA"/>
          <w14:textFill>
            <w14:solidFill>
              <w14:schemeClr w14:val="tx1"/>
            </w14:solidFill>
          </w14:textFill>
        </w:rPr>
      </w:pPr>
      <w:r>
        <w:rPr>
          <w:rStyle w:val="44"/>
          <w:rFonts w:hint="eastAsia" w:ascii="仿宋_GB2312" w:hAnsi="仿宋_GB2312" w:eastAsia="仿宋_GB2312" w:cs="仿宋_GB2312"/>
          <w:b/>
          <w:bCs/>
          <w:color w:val="000000" w:themeColor="text1"/>
          <w:highlight w:val="none"/>
          <w14:textFill>
            <w14:solidFill>
              <w14:schemeClr w14:val="tx1"/>
            </w14:solidFill>
          </w14:textFill>
        </w:rPr>
        <w:t>2</w:t>
      </w:r>
      <w:r>
        <w:rPr>
          <w:rStyle w:val="44"/>
          <w:rFonts w:hint="eastAsia" w:cs="仿宋_GB2312"/>
          <w:b/>
          <w:bCs/>
          <w:color w:val="000000" w:themeColor="text1"/>
          <w:highlight w:val="none"/>
          <w:lang w:val="en-US" w:eastAsia="zh-CN"/>
          <w14:textFill>
            <w14:solidFill>
              <w14:schemeClr w14:val="tx1"/>
            </w14:solidFill>
          </w14:textFill>
        </w:rPr>
        <w:t>2</w:t>
      </w:r>
      <w:r>
        <w:rPr>
          <w:rStyle w:val="44"/>
          <w:rFonts w:hint="eastAsia" w:ascii="仿宋_GB2312" w:hAnsi="仿宋_GB2312" w:eastAsia="仿宋_GB2312" w:cs="仿宋_GB2312"/>
          <w:b/>
          <w:bCs/>
          <w:color w:val="000000" w:themeColor="text1"/>
          <w:highlight w:val="none"/>
          <w14:textFill>
            <w14:solidFill>
              <w14:schemeClr w14:val="tx1"/>
            </w14:solidFill>
          </w14:textFill>
        </w:rPr>
        <w:t>.优化用电服务。</w:t>
      </w:r>
      <w:r>
        <w:rPr>
          <w:rStyle w:val="44"/>
          <w:rFonts w:hint="eastAsia" w:ascii="仿宋_GB2312" w:hAnsi="仿宋_GB2312" w:eastAsia="仿宋_GB2312" w:cs="仿宋_GB2312"/>
          <w:b w:val="0"/>
          <w:bCs w:val="0"/>
          <w:color w:val="000000" w:themeColor="text1"/>
          <w:highlight w:val="none"/>
          <w14:textFill>
            <w14:solidFill>
              <w14:schemeClr w14:val="tx1"/>
            </w14:solidFill>
          </w14:textFill>
        </w:rPr>
        <w:t>推动建设“共享营业厅”</w:t>
      </w:r>
      <w:r>
        <w:rPr>
          <w:rStyle w:val="44"/>
          <w:rFonts w:hint="eastAsia" w:cs="仿宋_GB2312"/>
          <w:b w:val="0"/>
          <w:bCs w:val="0"/>
          <w:color w:val="000000" w:themeColor="text1"/>
          <w:highlight w:val="none"/>
          <w:lang w:eastAsia="zh-CN"/>
          <w14:textFill>
            <w14:solidFill>
              <w14:schemeClr w14:val="tx1"/>
            </w14:solidFill>
          </w14:textFill>
        </w:rPr>
        <w:t>，</w:t>
      </w:r>
      <w:r>
        <w:rPr>
          <w:rStyle w:val="44"/>
          <w:rFonts w:hint="eastAsia" w:ascii="仿宋_GB2312" w:hAnsi="仿宋_GB2312" w:eastAsia="仿宋_GB2312" w:cs="仿宋_GB2312"/>
          <w:b w:val="0"/>
          <w:bCs w:val="0"/>
          <w:color w:val="000000" w:themeColor="text1"/>
          <w:highlight w:val="none"/>
          <w14:textFill>
            <w14:solidFill>
              <w14:schemeClr w14:val="tx1"/>
            </w14:solidFill>
          </w14:textFill>
        </w:rPr>
        <w:t>推</w:t>
      </w:r>
      <w:r>
        <w:rPr>
          <w:rStyle w:val="44"/>
          <w:rFonts w:hint="eastAsia" w:ascii="仿宋_GB2312" w:hAnsi="仿宋_GB2312" w:eastAsia="仿宋_GB2312" w:cs="仿宋_GB2312"/>
          <w:color w:val="000000" w:themeColor="text1"/>
          <w:highlight w:val="none"/>
          <w14:textFill>
            <w14:solidFill>
              <w14:schemeClr w14:val="tx1"/>
            </w14:solidFill>
          </w14:textFill>
        </w:rPr>
        <w:t>行“水电气网”多点可办，打破“水电气网”单点办理局限，一体整合“水电气网”服务范围与功能，推动“水电气网”综合服务，实现在单一网点能办成“水电气网”的全类别服务。</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面向大中型企业全面落实“省力、省时、省钱”原则，实现高压报装“一站式”服务；对符合条件的小微企业全面推行“零上门、零审批、零投资”低压接入服务，并试点“免证办”。</w:t>
      </w:r>
      <w:r>
        <w:rPr>
          <w:rFonts w:hint="eastAsia"/>
          <w:color w:val="000000" w:themeColor="text1"/>
          <w:highlight w:val="none"/>
          <w:lang w:val="en-US" w:eastAsia="zh-CN"/>
          <w14:textFill>
            <w14:solidFill>
              <w14:schemeClr w14:val="tx1"/>
            </w14:solidFill>
          </w14:textFill>
        </w:rPr>
        <w:t>在城镇规划建设用地范围内全面推行供电企业投资至客户建筑区划红线的“红线外零投资”模式，放宽低压接入标准，对报装容量200千瓦及以下的各类民营经济组织全面推行低压供电接入并实现“零投资”。加快推进非电网直供电小区治理。</w:t>
      </w:r>
      <w:r>
        <w:rPr>
          <w:rFonts w:hint="eastAsia" w:cs="Times New Roman"/>
          <w:color w:val="000000" w:themeColor="text1"/>
          <w:spacing w:val="6"/>
          <w:kern w:val="0"/>
          <w:sz w:val="32"/>
          <w:szCs w:val="32"/>
          <w:highlight w:val="none"/>
          <w:lang w:val="en-US" w:eastAsia="zh-CN" w:bidi="ar-SA"/>
          <w14:textFill>
            <w14:solidFill>
              <w14:schemeClr w14:val="tx1"/>
            </w14:solidFill>
          </w14:textFill>
        </w:rPr>
        <w:t>推动电动自行车换电设施监管一件事</w:t>
      </w:r>
      <w:r>
        <w:rPr>
          <w:rFonts w:hint="eastAsia" w:ascii="仿宋_GB2312" w:hAnsi="仿宋_GB2312" w:eastAsia="仿宋_GB2312" w:cs="Times New Roman"/>
          <w:color w:val="000000" w:themeColor="text1"/>
          <w:spacing w:val="6"/>
          <w:kern w:val="0"/>
          <w:sz w:val="32"/>
          <w:szCs w:val="32"/>
          <w:highlight w:val="none"/>
          <w:lang w:val="en-US" w:eastAsia="zh-CN" w:bidi="ar-SA"/>
          <w14:textFill>
            <w14:solidFill>
              <w14:schemeClr w14:val="tx1"/>
            </w14:solidFill>
          </w14:textFill>
        </w:rPr>
        <w:t>，进一步完善综合补给站布局，协同推动产业发展</w:t>
      </w:r>
      <w:r>
        <w:rPr>
          <w:rFonts w:hint="eastAsia" w:cs="Times New Roman"/>
          <w:color w:val="000000" w:themeColor="text1"/>
          <w:spacing w:val="6"/>
          <w:kern w:val="0"/>
          <w:sz w:val="32"/>
          <w:szCs w:val="32"/>
          <w:highlight w:val="none"/>
          <w:lang w:val="en-US" w:eastAsia="zh-CN" w:bidi="ar-SA"/>
          <w14:textFill>
            <w14:solidFill>
              <w14:schemeClr w14:val="tx1"/>
            </w14:solidFill>
          </w14:textFill>
        </w:rPr>
        <w:t>。</w:t>
      </w:r>
    </w:p>
    <w:p>
      <w:pPr>
        <w:pStyle w:val="3"/>
        <w:rPr>
          <w:rFonts w:hint="eastAsia"/>
          <w:color w:val="000000" w:themeColor="text1"/>
          <w:highlight w:val="none"/>
          <w:lang w:val="en-US" w:eastAsia="zh-CN"/>
          <w14:textFill>
            <w14:solidFill>
              <w14:schemeClr w14:val="tx1"/>
            </w14:solidFill>
          </w14:textFill>
        </w:rPr>
      </w:pPr>
      <w:r>
        <w:rPr>
          <w:rStyle w:val="44"/>
          <w:rFonts w:hint="eastAsia" w:ascii="仿宋_GB2312" w:hAnsi="仿宋_GB2312" w:eastAsia="仿宋_GB2312" w:cs="仿宋_GB2312"/>
          <w:b/>
          <w:bCs/>
          <w:color w:val="000000" w:themeColor="text1"/>
          <w:highlight w:val="none"/>
          <w14:textFill>
            <w14:solidFill>
              <w14:schemeClr w14:val="tx1"/>
            </w14:solidFill>
          </w14:textFill>
        </w:rPr>
        <w:t>2</w:t>
      </w:r>
      <w:r>
        <w:rPr>
          <w:rStyle w:val="44"/>
          <w:rFonts w:hint="eastAsia" w:cs="仿宋_GB2312"/>
          <w:b/>
          <w:bCs/>
          <w:color w:val="000000" w:themeColor="text1"/>
          <w:highlight w:val="none"/>
          <w:lang w:val="en-US" w:eastAsia="zh-CN"/>
          <w14:textFill>
            <w14:solidFill>
              <w14:schemeClr w14:val="tx1"/>
            </w14:solidFill>
          </w14:textFill>
        </w:rPr>
        <w:t>3</w:t>
      </w:r>
      <w:r>
        <w:rPr>
          <w:rStyle w:val="44"/>
          <w:rFonts w:hint="eastAsia" w:ascii="仿宋_GB2312" w:hAnsi="仿宋_GB2312" w:eastAsia="仿宋_GB2312" w:cs="仿宋_GB2312"/>
          <w:b/>
          <w:bCs/>
          <w:color w:val="000000" w:themeColor="text1"/>
          <w:highlight w:val="none"/>
          <w14:textFill>
            <w14:solidFill>
              <w14:schemeClr w14:val="tx1"/>
            </w14:solidFill>
          </w14:textFill>
        </w:rPr>
        <w:t>.优化用水</w:t>
      </w:r>
      <w:r>
        <w:rPr>
          <w:rStyle w:val="44"/>
          <w:rFonts w:hint="eastAsia" w:cs="仿宋_GB2312"/>
          <w:b/>
          <w:bCs/>
          <w:color w:val="000000" w:themeColor="text1"/>
          <w:highlight w:val="none"/>
          <w:lang w:eastAsia="zh-CN"/>
          <w14:textFill>
            <w14:solidFill>
              <w14:schemeClr w14:val="tx1"/>
            </w14:solidFill>
          </w14:textFill>
        </w:rPr>
        <w:t>气网</w:t>
      </w:r>
      <w:r>
        <w:rPr>
          <w:rStyle w:val="44"/>
          <w:rFonts w:hint="eastAsia" w:ascii="仿宋_GB2312" w:hAnsi="仿宋_GB2312" w:eastAsia="仿宋_GB2312" w:cs="仿宋_GB2312"/>
          <w:b/>
          <w:bCs/>
          <w:color w:val="000000" w:themeColor="text1"/>
          <w:highlight w:val="none"/>
          <w14:textFill>
            <w14:solidFill>
              <w14:schemeClr w14:val="tx1"/>
            </w14:solidFill>
          </w14:textFill>
        </w:rPr>
        <w:t>服务。</w:t>
      </w:r>
      <w:r>
        <w:rPr>
          <w:rFonts w:hint="eastAsia"/>
          <w:color w:val="000000" w:themeColor="text1"/>
          <w:highlight w:val="none"/>
          <w:lang w:val="en-US" w:eastAsia="zh-CN"/>
          <w14:textFill>
            <w14:solidFill>
              <w14:schemeClr w14:val="tx1"/>
            </w14:solidFill>
          </w14:textFill>
        </w:rPr>
        <w:t>开展城市老旧供水管道更新改造，选取部分区域试点完成供水可靠性评估，优化评价标准，编制奖惩方案。鼓励工业企业、餐饮行业等使用天然气、氢能等清洁能源替代传统高污染能源，对改用清洁能源的企业给予设备购置补贴。支持燃气企业建设加氢站、LNG加注站等基础设施，完善清洁能源供应网络。打造“瓶改管”示范工程，扩大管道天然气覆盖范围。推动智能燃气表更换工程，替代老旧机械表，实现用量精准计量、远程抄表及异常预警功能。加快推动海口国际通信业务，深化国际海底光缆等国际通信枢纽建设，适度超前部署“双万兆网络”，完成万兆园区</w:t>
      </w:r>
      <w:r>
        <w:rPr>
          <w:rFonts w:hint="eastAsia"/>
          <w:strike w:val="0"/>
          <w:dstrike w:val="0"/>
          <w:color w:val="000000" w:themeColor="text1"/>
          <w:highlight w:val="none"/>
          <w:lang w:val="en-US" w:eastAsia="zh-CN"/>
          <w14:textFill>
            <w14:solidFill>
              <w14:schemeClr w14:val="tx1"/>
            </w14:solidFill>
          </w14:textFill>
        </w:rPr>
        <w:t>建设</w:t>
      </w:r>
      <w:r>
        <w:rPr>
          <w:rFonts w:hint="eastAsia"/>
          <w:color w:val="000000" w:themeColor="text1"/>
          <w:highlight w:val="none"/>
          <w:lang w:val="en-US" w:eastAsia="zh-CN"/>
          <w14:textFill>
            <w14:solidFill>
              <w14:schemeClr w14:val="tx1"/>
            </w14:solidFill>
          </w14:textFill>
        </w:rPr>
        <w:t>，推进光传送节点部署，加速10G PON网络覆盖。联合移动、电信等企业开展政策宣讲进社区活动，争取解决剩余5G转供电问题。</w:t>
      </w:r>
    </w:p>
    <w:p>
      <w:pPr>
        <w:pStyle w:val="3"/>
        <w:rPr>
          <w:rFonts w:hint="eastAsia"/>
          <w:color w:val="000000" w:themeColor="text1"/>
          <w:highlight w:val="none"/>
          <w:lang w:val="en-US" w:eastAsia="zh-CN"/>
          <w14:textFill>
            <w14:solidFill>
              <w14:schemeClr w14:val="tx1"/>
            </w14:solidFill>
          </w14:textFill>
        </w:rPr>
      </w:pPr>
      <w:r>
        <w:rPr>
          <w:rStyle w:val="44"/>
          <w:rFonts w:hint="eastAsia" w:ascii="仿宋_GB2312" w:hAnsi="仿宋_GB2312" w:eastAsia="仿宋_GB2312" w:cs="仿宋_GB2312"/>
          <w:b/>
          <w:bCs/>
          <w:color w:val="000000" w:themeColor="text1"/>
          <w:highlight w:val="none"/>
          <w14:textFill>
            <w14:solidFill>
              <w14:schemeClr w14:val="tx1"/>
            </w14:solidFill>
          </w14:textFill>
        </w:rPr>
        <w:t>2</w:t>
      </w:r>
      <w:r>
        <w:rPr>
          <w:rStyle w:val="44"/>
          <w:rFonts w:hint="eastAsia" w:cs="仿宋_GB2312"/>
          <w:b/>
          <w:bCs/>
          <w:color w:val="000000" w:themeColor="text1"/>
          <w:highlight w:val="none"/>
          <w:lang w:val="en-US" w:eastAsia="zh-CN"/>
          <w14:textFill>
            <w14:solidFill>
              <w14:schemeClr w14:val="tx1"/>
            </w14:solidFill>
          </w14:textFill>
        </w:rPr>
        <w:t>4</w:t>
      </w:r>
      <w:r>
        <w:rPr>
          <w:rStyle w:val="44"/>
          <w:rFonts w:hint="eastAsia" w:ascii="仿宋_GB2312" w:hAnsi="仿宋_GB2312" w:eastAsia="仿宋_GB2312" w:cs="仿宋_GB2312"/>
          <w:b/>
          <w:bCs/>
          <w:color w:val="000000" w:themeColor="text1"/>
          <w:highlight w:val="none"/>
          <w14:textFill>
            <w14:solidFill>
              <w14:schemeClr w14:val="tx1"/>
            </w14:solidFill>
          </w14:textFill>
        </w:rPr>
        <w:t>.提升金融服务质效。</w:t>
      </w:r>
      <w:r>
        <w:rPr>
          <w:rFonts w:hint="eastAsia"/>
          <w:color w:val="000000" w:themeColor="text1"/>
          <w:highlight w:val="none"/>
          <w:lang w:val="en-US" w:eastAsia="zh-CN"/>
          <w14:textFill>
            <w14:solidFill>
              <w14:schemeClr w14:val="tx1"/>
            </w14:solidFill>
          </w14:textFill>
        </w:rPr>
        <w:t>健全政金企长效对接机制，支持驻市金融机构精准对接市场主体融资需求；加大海南省智慧金融综合服务平台海口分站宣传推广力度，鼓励驻市金融机构通过平台加大信贷投放力度；发挥财政资金激励作用，引导驻市银行机构加强对科技、绿色、普惠、养老、数字等重点领域的资源倾斜，做强做大保险市场规模；强化政府性融资担保机构建设，支持市级国有融资担保公司扩大普惠金融覆盖面，切实减费让利，加快解决企业“融资难、融资贵”难题。优化EF账户体系功能，推动EF账户对接国际平台，实现国际互认，推进跨境资产管理试点业务提质上量，促进跨境资金集中运营中心集聚发展；推动金融租赁、融资租赁业务创新发展；引导金融机构功能性分支机构转型，引入境内外持牌金融机构。积极培育做大资本市场，发展股权、债券等直接融资；围绕重点产业构建“企业上市培育”与“私募资本集聚”双向赋能的服务体系，持续扩充上市后备企业资源库，深化“基金+产业”联动，打造可持续的资本服务生态。</w:t>
      </w:r>
    </w:p>
    <w:p>
      <w:pPr>
        <w:pStyle w:val="3"/>
        <w:rPr>
          <w:rFonts w:hint="eastAsia"/>
          <w:color w:val="000000" w:themeColor="text1"/>
          <w:highlight w:val="none"/>
          <w:lang w:val="en-US" w:eastAsia="zh-CN"/>
          <w14:textFill>
            <w14:solidFill>
              <w14:schemeClr w14:val="tx1"/>
            </w14:solidFill>
          </w14:textFill>
        </w:rPr>
      </w:pP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2</w:t>
      </w:r>
      <w:r>
        <w:rPr>
          <w:rStyle w:val="44"/>
          <w:rFonts w:hint="eastAsia" w:cs="仿宋_GB2312"/>
          <w:b/>
          <w:bCs/>
          <w:color w:val="000000" w:themeColor="text1"/>
          <w:highlight w:val="none"/>
          <w:lang w:val="en-US" w:eastAsia="zh-CN"/>
          <w14:textFill>
            <w14:solidFill>
              <w14:schemeClr w14:val="tx1"/>
            </w14:solidFill>
          </w14:textFill>
        </w:rPr>
        <w:t>5</w:t>
      </w:r>
      <w:r>
        <w:rPr>
          <w:rStyle w:val="44"/>
          <w:rFonts w:hint="eastAsia" w:ascii="仿宋_GB2312" w:hAnsi="仿宋_GB2312" w:eastAsia="仿宋_GB2312" w:cs="仿宋_GB2312"/>
          <w:b/>
          <w:bCs/>
          <w:color w:val="000000" w:themeColor="text1"/>
          <w:highlight w:val="none"/>
          <w14:textFill>
            <w14:solidFill>
              <w14:schemeClr w14:val="tx1"/>
            </w14:solidFill>
          </w14:textFill>
        </w:rPr>
        <w:t>.加强知识产权保护。</w:t>
      </w:r>
      <w:r>
        <w:rPr>
          <w:rFonts w:hint="eastAsia"/>
          <w:color w:val="000000" w:themeColor="text1"/>
          <w:highlight w:val="none"/>
          <w:lang w:val="en-US" w:eastAsia="zh-CN"/>
          <w14:textFill>
            <w14:solidFill>
              <w14:schemeClr w14:val="tx1"/>
            </w14:solidFill>
          </w14:textFill>
        </w:rPr>
        <w:t>持续推广“海知贷”质押融资产品，提升知识产权融资的可及性和便利度。依托海口市知识产权保护中心为核心载体，创新构建集快速审查、协同保护、风险预警于一体的知识产权一体化保护机制；持续深化知识产权综合服务示范区建设，升级数字化服务平台，全面整合专利预审、维权援助、侵权监测等“一站式”服务功能；重点加强海外知识产权纠纷应对指导工作，提供“一对一”指导、强化培训及风险预警，提升企业海外维权能力。强化跨区域知识产权保护协同和司法协作，加大对重点领域、关键环节侵犯知识产权行为和重复侵权行为的打击力度。</w:t>
      </w:r>
    </w:p>
    <w:p>
      <w:pPr>
        <w:pStyle w:val="3"/>
        <w:keepNext w:val="0"/>
        <w:keepLines w:val="0"/>
        <w:pageBreakBefore w:val="0"/>
        <w:widowControl/>
        <w:kinsoku/>
        <w:wordWrap/>
        <w:overflowPunct/>
        <w:topLinePunct w:val="0"/>
        <w:autoSpaceDE/>
        <w:autoSpaceDN/>
        <w:bidi w:val="0"/>
        <w:adjustRightInd/>
        <w:snapToGrid/>
        <w:ind w:firstLine="667" w:firstLineChars="200"/>
        <w:textAlignment w:val="auto"/>
        <w:rPr>
          <w:rFonts w:hint="eastAsia"/>
          <w:color w:val="000000" w:themeColor="text1"/>
          <w:highlight w:val="none"/>
          <w:lang w:val="en-US" w:eastAsia="zh-CN"/>
          <w14:textFill>
            <w14:solidFill>
              <w14:schemeClr w14:val="tx1"/>
            </w14:solidFill>
          </w14:textFill>
        </w:rPr>
      </w:pPr>
      <w:r>
        <w:rPr>
          <w:rStyle w:val="44"/>
          <w:rFonts w:hint="eastAsia" w:cs="仿宋_GB2312"/>
          <w:b/>
          <w:bCs/>
          <w:color w:val="000000" w:themeColor="text1"/>
          <w:highlight w:val="none"/>
          <w:lang w:val="en-US" w:eastAsia="zh-CN"/>
          <w14:textFill>
            <w14:solidFill>
              <w14:schemeClr w14:val="tx1"/>
            </w14:solidFill>
          </w14:textFill>
        </w:rPr>
        <w:t>26</w:t>
      </w: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.提升公共服务供给能力。</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推进基本公共服务均等化改革</w:t>
      </w:r>
      <w:r>
        <w:rPr>
          <w:rFonts w:hint="eastAsia" w:cs="仿宋_GB2312"/>
          <w:color w:val="000000" w:themeColor="text1"/>
          <w:highlight w:val="none"/>
          <w:lang w:val="en-US" w:eastAsia="zh-CN"/>
          <w14:textFill>
            <w14:solidFill>
              <w14:schemeClr w14:val="tx1"/>
            </w14:solidFill>
          </w14:textFill>
        </w:rPr>
        <w:t>,</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持续完善教育、卫生、文体、养老等重点民生领域改革政策，推动更多公共服务向基层下沉、向农村覆盖倾斜，优先补齐基本公共服务短板，推动公共服务更加优质均衡，提高公共服务供给质量和供给能力。提升公共服务便利度，大力推进完整社区建设，因地制宜完善社区基本公共服务设施、便民商业服务设施、公共活动场地等，推动“一刻钟便民生活圈”扩围升级。</w:t>
      </w:r>
    </w:p>
    <w:p>
      <w:pPr>
        <w:pStyle w:val="3"/>
        <w:keepNext w:val="0"/>
        <w:keepLines w:val="0"/>
        <w:pageBreakBefore w:val="0"/>
        <w:widowControl/>
        <w:kinsoku/>
        <w:wordWrap/>
        <w:overflowPunct/>
        <w:topLinePunct w:val="0"/>
        <w:autoSpaceDE/>
        <w:autoSpaceDN/>
        <w:bidi w:val="0"/>
        <w:adjustRightInd/>
        <w:snapToGrid/>
        <w:ind w:firstLine="667" w:firstLineChars="200"/>
        <w:textAlignment w:val="auto"/>
        <w:rPr>
          <w:rFonts w:hint="eastAsia" w:ascii="仿宋_GB2312" w:hAnsi="仿宋_GB2312" w:eastAsia="仿宋_GB2312" w:cs="仿宋_GB2312"/>
          <w:color w:val="000000" w:themeColor="text1"/>
          <w:highlight w:val="none"/>
          <w:lang w:val="en-US" w:eastAsia="zh-CN"/>
          <w14:textFill>
            <w14:solidFill>
              <w14:schemeClr w14:val="tx1"/>
            </w14:solidFill>
          </w14:textFill>
        </w:rPr>
      </w:pPr>
      <w:r>
        <w:rPr>
          <w:rStyle w:val="44"/>
          <w:rFonts w:hint="eastAsia" w:cs="仿宋_GB2312"/>
          <w:b/>
          <w:bCs/>
          <w:color w:val="000000" w:themeColor="text1"/>
          <w:highlight w:val="none"/>
          <w:lang w:val="en-US" w:eastAsia="zh-CN"/>
          <w14:textFill>
            <w14:solidFill>
              <w14:schemeClr w14:val="tx1"/>
            </w14:solidFill>
          </w14:textFill>
        </w:rPr>
        <w:t>27</w:t>
      </w: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.推进绿色低碳发展。</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科学有序推进碳达峰碳中和工作，增强绿色发展动能。完善生态文明制度体系，提升环境质量总体水平。深入推进林长制，提升森林覆盖率。深入推进城市建设绿色转型</w:t>
      </w:r>
      <w:r>
        <w:rPr>
          <w:rFonts w:hint="eastAsia" w:cs="仿宋_GB2312"/>
          <w:color w:val="000000" w:themeColor="text1"/>
          <w:highlight w:val="none"/>
          <w:lang w:val="en-US" w:eastAsia="zh-CN"/>
          <w14:textFill>
            <w14:solidFill>
              <w14:schemeClr w14:val="tx1"/>
            </w14:solidFill>
          </w14:textFill>
        </w:rPr>
        <w:t>，</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完善绿色出行、绿色交通等应用场景,推动清洁能源岛建设,</w:t>
      </w:r>
      <w:r>
        <w:rPr>
          <w:rFonts w:hint="eastAsia" w:cs="仿宋_GB2312"/>
          <w:color w:val="000000" w:themeColor="text1"/>
          <w:highlight w:val="none"/>
          <w:lang w:val="en-US" w:eastAsia="zh-CN"/>
          <w14:textFill>
            <w14:solidFill>
              <w14:schemeClr w14:val="tx1"/>
            </w14:solidFill>
          </w14:textFill>
        </w:rPr>
        <w:t>推动新能源</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交通</w:t>
      </w:r>
      <w:r>
        <w:rPr>
          <w:rFonts w:hint="eastAsia" w:cs="仿宋_GB2312"/>
          <w:color w:val="000000" w:themeColor="text1"/>
          <w:highlight w:val="none"/>
          <w:lang w:val="en-US" w:eastAsia="zh-CN"/>
          <w14:textFill>
            <w14:solidFill>
              <w14:schemeClr w14:val="tx1"/>
            </w14:solidFill>
          </w14:textFill>
        </w:rPr>
        <w:t>占比逐步提升</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w:t>
      </w:r>
      <w:r>
        <w:rPr>
          <w:rFonts w:hint="eastAsia" w:cs="仿宋_GB2312"/>
          <w:color w:val="000000" w:themeColor="text1"/>
          <w:highlight w:val="none"/>
          <w:lang w:val="en-US" w:eastAsia="zh-CN"/>
          <w14:textFill>
            <w14:solidFill>
              <w14:schemeClr w14:val="tx1"/>
            </w14:solidFill>
          </w14:textFill>
        </w:rPr>
        <w:t>推动</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新能源汽车市场渗透率走在全国前列,进一步提升装配式建筑占新建建筑面积比例。</w:t>
      </w:r>
    </w:p>
    <w:p>
      <w:pPr>
        <w:pStyle w:val="4"/>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（四）实施市场监管增效行动</w:t>
      </w:r>
    </w:p>
    <w:p>
      <w:pPr>
        <w:pStyle w:val="3"/>
        <w:rPr>
          <w:rFonts w:hint="eastAsia"/>
          <w:color w:val="000000" w:themeColor="text1"/>
          <w:highlight w:val="none"/>
          <w:lang w:val="en-US" w:eastAsia="zh-CN"/>
          <w14:textFill>
            <w14:solidFill>
              <w14:schemeClr w14:val="tx1"/>
            </w14:solidFill>
          </w14:textFill>
        </w:rPr>
      </w:pPr>
      <w:r>
        <w:rPr>
          <w:rStyle w:val="44"/>
          <w:rFonts w:hint="eastAsia" w:cs="仿宋_GB2312"/>
          <w:b/>
          <w:bCs/>
          <w:color w:val="000000" w:themeColor="text1"/>
          <w:highlight w:val="none"/>
          <w:lang w:val="en-US" w:eastAsia="zh-CN"/>
          <w14:textFill>
            <w14:solidFill>
              <w14:schemeClr w14:val="tx1"/>
            </w14:solidFill>
          </w14:textFill>
        </w:rPr>
        <w:t>28</w:t>
      </w:r>
      <w:r>
        <w:rPr>
          <w:rStyle w:val="44"/>
          <w:rFonts w:hint="eastAsia" w:ascii="仿宋_GB2312" w:hAnsi="仿宋_GB2312" w:eastAsia="仿宋_GB2312" w:cs="仿宋_GB2312"/>
          <w:b/>
          <w:bCs/>
          <w:color w:val="000000" w:themeColor="text1"/>
          <w:highlight w:val="none"/>
          <w14:textFill>
            <w14:solidFill>
              <w14:schemeClr w14:val="tx1"/>
            </w14:solidFill>
          </w14:textFill>
        </w:rPr>
        <w:t>.持续降低市场准入门槛。</w:t>
      </w:r>
      <w:r>
        <w:rPr>
          <w:rStyle w:val="17"/>
          <w:rFonts w:hint="eastAsia" w:ascii="仿宋_GB2312" w:hAnsi="仿宋_GB2312" w:eastAsia="仿宋_GB2312" w:cs="Times New Roman"/>
          <w:b w:val="0"/>
          <w:bCs w:val="0"/>
          <w:color w:val="000000" w:themeColor="text1"/>
          <w:highlight w:val="none"/>
          <w14:textFill>
            <w14:solidFill>
              <w14:schemeClr w14:val="tx1"/>
            </w14:solidFill>
          </w14:textFill>
        </w:rPr>
        <w:t>持续落实外商投资准入特别管理措施（系列负面清单），基于自贸港负面清单、跨境服务贸易等复杂政策，提供从准入到准营的“一站式”政策解读。</w:t>
      </w:r>
      <w:r>
        <w:rPr>
          <w:rFonts w:hint="eastAsia"/>
          <w:color w:val="000000" w:themeColor="text1"/>
          <w:highlight w:val="none"/>
          <w:lang w:val="en-US" w:eastAsia="zh-CN"/>
          <w14:textFill>
            <w14:solidFill>
              <w14:schemeClr w14:val="tx1"/>
            </w14:solidFill>
          </w14:textFill>
        </w:rPr>
        <w:t>加强市场准入效能评估，涵盖准入壁垒破除、审批效率、监管衔接等核心维度，强化评估结果应用，并对违背市场准入负面清单案例进行排查，调整清理不符合市场准入要求和有违公平竞争的政策文件。不得以备案、注册、年检、认定、指定等形式设定或变相设定准入障碍，不得违规扩大审批范围、变更或增设审批条件。不得对外地企业设置准入限制，不得要求在本地设立分公司,方可参加招投标。不得对不同所有制企业的相同问题给予差别化的处理、对招商引入的企业和本土企业区别对待。</w:t>
      </w:r>
    </w:p>
    <w:p>
      <w:pPr>
        <w:pStyle w:val="3"/>
        <w:rPr>
          <w:rStyle w:val="44"/>
          <w:rFonts w:hint="eastAsia" w:ascii="仿宋_GB2312" w:hAnsi="仿宋_GB2312" w:eastAsia="仿宋_GB2312" w:cs="仿宋_GB2312"/>
          <w:b/>
          <w:bCs/>
          <w:color w:val="000000" w:themeColor="text1"/>
          <w:highlight w:val="none"/>
          <w14:textFill>
            <w14:solidFill>
              <w14:schemeClr w14:val="tx1"/>
            </w14:solidFill>
          </w14:textFill>
        </w:rPr>
      </w:pPr>
      <w:r>
        <w:rPr>
          <w:rStyle w:val="44"/>
          <w:rFonts w:hint="eastAsia" w:cs="仿宋_GB2312"/>
          <w:b/>
          <w:bCs/>
          <w:color w:val="000000" w:themeColor="text1"/>
          <w:highlight w:val="none"/>
          <w:lang w:val="en-US" w:eastAsia="zh-CN"/>
          <w14:textFill>
            <w14:solidFill>
              <w14:schemeClr w14:val="tx1"/>
            </w14:solidFill>
          </w14:textFill>
        </w:rPr>
        <w:t>29</w:t>
      </w:r>
      <w:r>
        <w:rPr>
          <w:rStyle w:val="44"/>
          <w:rFonts w:hint="eastAsia" w:ascii="仿宋_GB2312" w:hAnsi="仿宋_GB2312" w:eastAsia="仿宋_GB2312" w:cs="仿宋_GB2312"/>
          <w:b/>
          <w:bCs/>
          <w:color w:val="000000" w:themeColor="text1"/>
          <w:highlight w:val="none"/>
          <w14:textFill>
            <w14:solidFill>
              <w14:schemeClr w14:val="tx1"/>
            </w14:solidFill>
          </w14:textFill>
        </w:rPr>
        <w:t>.保障各类市场主体公平竞争。</w:t>
      </w:r>
      <w:r>
        <w:rPr>
          <w:rFonts w:hint="eastAsia"/>
          <w:color w:val="000000" w:themeColor="text1"/>
          <w:highlight w:val="none"/>
          <w:lang w:val="en-US" w:eastAsia="zh-CN"/>
          <w14:textFill>
            <w14:solidFill>
              <w14:schemeClr w14:val="tx1"/>
            </w14:solidFill>
          </w14:textFill>
        </w:rPr>
        <w:t>结合《公平竞争审查条例》及其实施办法，进一步完善配套制度体系，提升公平竞争审查水平。推广公平竞争审查智能辅助系统，智能提示政策文件中的存疑问题，帮助政策制定机关提升公平竞争审查工作质效，加快清理违反公平竞争审查的政策文件。强化反不正当竞争执法监管，严厉查处仿冒混淆、虚假宣传等不正当竞争行为。</w:t>
      </w:r>
    </w:p>
    <w:p>
      <w:pPr>
        <w:pStyle w:val="3"/>
        <w:rPr>
          <w:rFonts w:hint="eastAsia"/>
          <w:color w:val="000000" w:themeColor="text1"/>
          <w:highlight w:val="none"/>
          <w:lang w:val="en-US" w:eastAsia="zh-CN"/>
          <w14:textFill>
            <w14:solidFill>
              <w14:schemeClr w14:val="tx1"/>
            </w14:solidFill>
          </w14:textFill>
        </w:rPr>
      </w:pPr>
      <w:r>
        <w:rPr>
          <w:rStyle w:val="44"/>
          <w:rFonts w:hint="eastAsia" w:ascii="仿宋_GB2312" w:hAnsi="仿宋_GB2312" w:eastAsia="仿宋_GB2312" w:cs="仿宋_GB2312"/>
          <w:b/>
          <w:bCs/>
          <w:color w:val="000000" w:themeColor="text1"/>
          <w:highlight w:val="none"/>
          <w14:textFill>
            <w14:solidFill>
              <w14:schemeClr w14:val="tx1"/>
            </w14:solidFill>
          </w14:textFill>
        </w:rPr>
        <w:t>3</w:t>
      </w:r>
      <w:r>
        <w:rPr>
          <w:rStyle w:val="44"/>
          <w:rFonts w:hint="eastAsia" w:cs="仿宋_GB2312"/>
          <w:b/>
          <w:bCs/>
          <w:color w:val="000000" w:themeColor="text1"/>
          <w:highlight w:val="none"/>
          <w:lang w:val="en-US" w:eastAsia="zh-CN"/>
          <w14:textFill>
            <w14:solidFill>
              <w14:schemeClr w14:val="tx1"/>
            </w14:solidFill>
          </w14:textFill>
        </w:rPr>
        <w:t>0</w:t>
      </w:r>
      <w:r>
        <w:rPr>
          <w:rStyle w:val="44"/>
          <w:rFonts w:hint="eastAsia" w:ascii="仿宋_GB2312" w:hAnsi="仿宋_GB2312" w:eastAsia="仿宋_GB2312" w:cs="仿宋_GB2312"/>
          <w:b/>
          <w:bCs/>
          <w:color w:val="000000" w:themeColor="text1"/>
          <w:highlight w:val="none"/>
          <w14:textFill>
            <w14:solidFill>
              <w14:schemeClr w14:val="tx1"/>
            </w14:solidFill>
          </w14:textFill>
        </w:rPr>
        <w:t>.提升公共</w:t>
      </w:r>
      <w:r>
        <w:rPr>
          <w:rStyle w:val="44"/>
          <w:rFonts w:hint="eastAsia" w:ascii="仿宋_GB2312" w:hAnsi="仿宋_GB2312" w:eastAsia="仿宋_GB2312" w:cs="仿宋_GB2312"/>
          <w:b/>
          <w:bCs/>
          <w:color w:val="000000" w:themeColor="text1"/>
          <w:highlight w:val="none"/>
          <w:lang w:eastAsia="zh-CN"/>
          <w14:textFill>
            <w14:solidFill>
              <w14:schemeClr w14:val="tx1"/>
            </w14:solidFill>
          </w14:textFill>
        </w:rPr>
        <w:t>资源</w:t>
      </w:r>
      <w:r>
        <w:rPr>
          <w:rStyle w:val="44"/>
          <w:rFonts w:hint="eastAsia" w:ascii="仿宋_GB2312" w:hAnsi="仿宋_GB2312" w:eastAsia="仿宋_GB2312" w:cs="仿宋_GB2312"/>
          <w:b/>
          <w:bCs/>
          <w:color w:val="000000" w:themeColor="text1"/>
          <w:highlight w:val="none"/>
          <w14:textFill>
            <w14:solidFill>
              <w14:schemeClr w14:val="tx1"/>
            </w14:solidFill>
          </w14:textFill>
        </w:rPr>
        <w:t>交易水平。</w:t>
      </w:r>
      <w:r>
        <w:rPr>
          <w:rFonts w:hint="eastAsia"/>
          <w:color w:val="000000" w:themeColor="text1"/>
          <w:highlight w:val="none"/>
          <w:lang w:val="en-US" w:eastAsia="zh-CN"/>
          <w14:textFill>
            <w14:solidFill>
              <w14:schemeClr w14:val="tx1"/>
            </w14:solidFill>
          </w14:textFill>
        </w:rPr>
        <w:t>在全面落实施工、EPC总承包类项目应用“机器管招投标”系统的基础上，积极配合省级主管部门及平台，有序将勘察、设计、监理等类型项目纳入系统管理。扩大远程异地评标评审试点，通过明确远程异地评标的适用项目类型与规模标准、建立跨区域常态化运行与协同服务机制，主动探索与先进地区签署点对点合作协议。保障各类市场化业务公开招标。加强对光伏产业发展的指导和监管，推动光伏产业高质量发展。</w:t>
      </w:r>
    </w:p>
    <w:p>
      <w:pPr>
        <w:pStyle w:val="3"/>
        <w:rPr>
          <w:rFonts w:hint="eastAsia"/>
          <w:color w:val="000000" w:themeColor="text1"/>
          <w:highlight w:val="none"/>
          <w:lang w:val="en-US" w:eastAsia="zh-CN"/>
          <w14:textFill>
            <w14:solidFill>
              <w14:schemeClr w14:val="tx1"/>
            </w14:solidFill>
          </w14:textFill>
        </w:rPr>
      </w:pPr>
      <w:r>
        <w:rPr>
          <w:rStyle w:val="44"/>
          <w:rFonts w:hint="eastAsia" w:ascii="仿宋_GB2312" w:hAnsi="仿宋_GB2312" w:eastAsia="仿宋_GB2312" w:cs="仿宋_GB2312"/>
          <w:b/>
          <w:bCs/>
          <w:color w:val="000000" w:themeColor="text1"/>
          <w:highlight w:val="none"/>
          <w14:textFill>
            <w14:solidFill>
              <w14:schemeClr w14:val="tx1"/>
            </w14:solidFill>
          </w14:textFill>
        </w:rPr>
        <w:t>3</w:t>
      </w:r>
      <w:r>
        <w:rPr>
          <w:rStyle w:val="44"/>
          <w:rFonts w:hint="eastAsia" w:cs="仿宋_GB2312"/>
          <w:b/>
          <w:bCs/>
          <w:color w:val="000000" w:themeColor="text1"/>
          <w:highlight w:val="none"/>
          <w:lang w:val="en-US" w:eastAsia="zh-CN"/>
          <w14:textFill>
            <w14:solidFill>
              <w14:schemeClr w14:val="tx1"/>
            </w14:solidFill>
          </w14:textFill>
        </w:rPr>
        <w:t>1</w:t>
      </w:r>
      <w:r>
        <w:rPr>
          <w:rStyle w:val="44"/>
          <w:rFonts w:hint="eastAsia" w:ascii="仿宋_GB2312" w:hAnsi="仿宋_GB2312" w:eastAsia="仿宋_GB2312" w:cs="仿宋_GB2312"/>
          <w:b/>
          <w:bCs/>
          <w:color w:val="000000" w:themeColor="text1"/>
          <w:highlight w:val="none"/>
          <w14:textFill>
            <w14:solidFill>
              <w14:schemeClr w14:val="tx1"/>
            </w14:solidFill>
          </w14:textFill>
        </w:rPr>
        <w:t>.推动政府采购领域建设。</w:t>
      </w:r>
      <w:r>
        <w:rPr>
          <w:rFonts w:hint="eastAsia"/>
          <w:color w:val="000000" w:themeColor="text1"/>
          <w:highlight w:val="none"/>
          <w:lang w:val="en-US" w:eastAsia="zh-CN"/>
          <w14:textFill>
            <w14:solidFill>
              <w14:schemeClr w14:val="tx1"/>
            </w14:solidFill>
          </w14:textFill>
        </w:rPr>
        <w:t>通过加大资金预留份额、降低政府采购门槛、实行价格优惠政策、降低参与采购活动成本、提高合同预付款比例等方式，多措并举积极支持中小企业参加政府采购活动。实施“机器管政府采购”，技术反制围标串标。充分利用电子平台的综合监控预警功能，实现对关键环节的风险防控。</w:t>
      </w:r>
    </w:p>
    <w:p>
      <w:pPr>
        <w:pStyle w:val="4"/>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（五）实施法治建设护航行动</w:t>
      </w:r>
    </w:p>
    <w:p>
      <w:pPr>
        <w:pStyle w:val="3"/>
        <w:rPr>
          <w:rStyle w:val="44"/>
          <w:rFonts w:hint="eastAsia" w:ascii="仿宋_GB2312" w:hAnsi="仿宋_GB2312" w:eastAsia="仿宋_GB2312" w:cs="仿宋_GB2312"/>
          <w:b w:val="0"/>
          <w:bCs w:val="0"/>
          <w:color w:val="000000" w:themeColor="text1"/>
          <w:highlight w:val="none"/>
          <w:lang w:val="en-US" w:eastAsia="zh-CN"/>
          <w14:textFill>
            <w14:solidFill>
              <w14:schemeClr w14:val="tx1"/>
            </w14:solidFill>
          </w14:textFill>
        </w:rPr>
      </w:pP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32.持续推进立法工作。</w:t>
      </w:r>
      <w:r>
        <w:rPr>
          <w:rStyle w:val="44"/>
          <w:rFonts w:hint="eastAsia" w:ascii="仿宋_GB2312" w:hAnsi="仿宋_GB2312" w:eastAsia="仿宋_GB2312" w:cs="仿宋_GB2312"/>
          <w:b w:val="0"/>
          <w:bCs w:val="0"/>
          <w:color w:val="000000" w:themeColor="text1"/>
          <w:highlight w:val="none"/>
          <w:lang w:val="en-US" w:eastAsia="zh-CN"/>
          <w14:textFill>
            <w14:solidFill>
              <w14:schemeClr w14:val="tx1"/>
            </w14:solidFill>
          </w14:textFill>
        </w:rPr>
        <w:t>以法治化放大制度优势，持续做好住房建设、停车场建设管理、会展业、服务监管等领域的法规规章立改废止工作。</w:t>
      </w:r>
    </w:p>
    <w:p>
      <w:pPr>
        <w:pStyle w:val="3"/>
        <w:rPr>
          <w:rStyle w:val="44"/>
          <w:rFonts w:hint="default" w:ascii="仿宋_GB2312" w:hAnsi="仿宋_GB2312" w:eastAsia="仿宋_GB2312" w:cs="仿宋_GB2312"/>
          <w:b/>
          <w:bCs/>
          <w:color w:val="000000" w:themeColor="text1"/>
          <w:highlight w:val="none"/>
          <w:lang w:val="en-US" w:eastAsia="zh-CN"/>
          <w14:textFill>
            <w14:solidFill>
              <w14:schemeClr w14:val="tx1"/>
            </w14:solidFill>
          </w14:textFill>
        </w:rPr>
      </w:pPr>
      <w:r>
        <w:rPr>
          <w:rStyle w:val="44"/>
          <w:rFonts w:hint="eastAsia" w:cs="仿宋_GB2312"/>
          <w:b/>
          <w:bCs/>
          <w:color w:val="000000" w:themeColor="text1"/>
          <w:highlight w:val="none"/>
          <w:lang w:val="en-US" w:eastAsia="zh-CN"/>
          <w14:textFill>
            <w14:solidFill>
              <w14:schemeClr w14:val="tx1"/>
            </w14:solidFill>
          </w14:textFill>
        </w:rPr>
        <w:t>33.</w:t>
      </w: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拓展行业规划领域。</w:t>
      </w:r>
      <w:r>
        <w:rPr>
          <w:rFonts w:hint="eastAsia"/>
          <w:color w:val="000000" w:themeColor="text1"/>
          <w:highlight w:val="none"/>
          <w:lang w:val="en-US" w:eastAsia="zh-CN"/>
          <w14:textFill>
            <w14:solidFill>
              <w14:schemeClr w14:val="tx1"/>
            </w14:solidFill>
          </w14:textFill>
        </w:rPr>
        <w:t>出台停车设施、电动自行车充电设施、地下空间开发、再生资源规划等相关行业规划，统筹指导行业稳定有序发展。</w:t>
      </w:r>
    </w:p>
    <w:p>
      <w:pPr>
        <w:pStyle w:val="3"/>
        <w:rPr>
          <w:rFonts w:hint="eastAsia" w:ascii="仿宋_GB2312" w:hAnsi="仿宋_GB2312" w:eastAsia="仿宋_GB2312" w:cs="仿宋_GB2312"/>
          <w:b/>
          <w:bCs/>
          <w:color w:val="auto"/>
          <w:sz w:val="32"/>
          <w:szCs w:val="32"/>
          <w:highlight w:val="none"/>
          <w:lang w:val="en-US" w:eastAsia="zh-CN"/>
        </w:rPr>
      </w:pP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3</w:t>
      </w:r>
      <w:r>
        <w:rPr>
          <w:rStyle w:val="44"/>
          <w:rFonts w:hint="eastAsia" w:cs="仿宋_GB2312"/>
          <w:b/>
          <w:bCs/>
          <w:color w:val="000000" w:themeColor="text1"/>
          <w:highlight w:val="none"/>
          <w:lang w:val="en-US" w:eastAsia="zh-CN"/>
          <w14:textFill>
            <w14:solidFill>
              <w14:schemeClr w14:val="tx1"/>
            </w14:solidFill>
          </w14:textFill>
        </w:rPr>
        <w:t>4</w:t>
      </w:r>
      <w:r>
        <w:rPr>
          <w:rStyle w:val="44"/>
          <w:rFonts w:hint="eastAsia" w:ascii="仿宋_GB2312" w:hAnsi="仿宋_GB2312" w:eastAsia="仿宋_GB2312" w:cs="仿宋_GB2312"/>
          <w:b/>
          <w:bCs/>
          <w:color w:val="000000" w:themeColor="text1"/>
          <w:highlight w:val="none"/>
          <w14:textFill>
            <w14:solidFill>
              <w14:schemeClr w14:val="tx1"/>
            </w14:solidFill>
          </w14:textFill>
        </w:rPr>
        <w:t>.持续提升监管效能。</w:t>
      </w:r>
      <w:r>
        <w:rPr>
          <w:rFonts w:hint="eastAsia" w:ascii="仿宋_GB2312" w:hAnsi="仿宋_GB2312" w:eastAsia="仿宋_GB2312" w:cs="仿宋_GB2312"/>
          <w:color w:val="000000" w:themeColor="text1"/>
          <w:highlight w:val="none"/>
          <w:lang w:val="en-US" w:eastAsia="zh-CN"/>
          <w14:textFill>
            <w14:solidFill>
              <w14:schemeClr w14:val="tx1"/>
            </w14:solidFill>
          </w14:textFill>
        </w:rPr>
        <w:t>持</w:t>
      </w:r>
      <w:r>
        <w:rPr>
          <w:rFonts w:hint="eastAsia"/>
          <w:color w:val="000000" w:themeColor="text1"/>
          <w:highlight w:val="none"/>
          <w:lang w:val="en-US" w:eastAsia="zh-CN"/>
          <w14:textFill>
            <w14:solidFill>
              <w14:schemeClr w14:val="tx1"/>
            </w14:solidFill>
          </w14:textFill>
        </w:rPr>
        <w:t>续推进“一套清单管监管”，形成“一套机制管联动”，推进“监管服务一件事”，建立“事前指导预防、事中审慎监管、事后强化提升”全过程行政合规指导服务机制，提升政府监管服务水平</w:t>
      </w:r>
      <w:r>
        <w:rPr>
          <w:rFonts w:hint="eastAsia"/>
          <w:b w:val="0"/>
          <w:bCs w:val="0"/>
          <w:color w:val="000000" w:themeColor="text1"/>
          <w:highlight w:val="none"/>
          <w:lang w:val="en-US" w:eastAsia="zh-CN"/>
          <w14:textFill>
            <w14:solidFill>
              <w14:schemeClr w14:val="tx1"/>
            </w14:solidFill>
          </w14:textFill>
        </w:rPr>
        <w:t>。</w:t>
      </w:r>
      <w:r>
        <w:rPr>
          <w:rFonts w:hint="eastAsia" w:ascii="仿宋_GB2312" w:hAnsi="仿宋_GB2312" w:eastAsia="仿宋_GB2312" w:cs="仿宋_GB2312"/>
          <w:b w:val="0"/>
          <w:bCs w:val="0"/>
          <w:color w:val="auto"/>
          <w:sz w:val="32"/>
          <w:szCs w:val="32"/>
          <w:highlight w:val="none"/>
          <w:lang w:val="en-US" w:eastAsia="zh-CN"/>
        </w:rPr>
        <w:t>完善营商环境问题处置工作机制，深化“法治会诊、府院联动、领导包案、政企会商”等模式，妥善处置化解各类营商环境问题。</w:t>
      </w:r>
    </w:p>
    <w:p>
      <w:pPr>
        <w:pStyle w:val="3"/>
        <w:rPr>
          <w:rFonts w:hint="eastAsia"/>
          <w:color w:val="auto"/>
          <w:highlight w:val="none"/>
          <w:lang w:val="en-US" w:eastAsia="zh-CN"/>
        </w:rPr>
      </w:pP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3</w:t>
      </w:r>
      <w:r>
        <w:rPr>
          <w:rStyle w:val="44"/>
          <w:rFonts w:hint="eastAsia" w:cs="仿宋_GB2312"/>
          <w:b/>
          <w:bCs/>
          <w:color w:val="000000" w:themeColor="text1"/>
          <w:highlight w:val="none"/>
          <w:lang w:val="en-US" w:eastAsia="zh-CN"/>
          <w14:textFill>
            <w14:solidFill>
              <w14:schemeClr w14:val="tx1"/>
            </w14:solidFill>
          </w14:textFill>
        </w:rPr>
        <w:t>5</w:t>
      </w:r>
      <w:r>
        <w:rPr>
          <w:rStyle w:val="44"/>
          <w:rFonts w:hint="eastAsia" w:ascii="仿宋_GB2312" w:hAnsi="仿宋_GB2312" w:eastAsia="仿宋_GB2312" w:cs="仿宋_GB2312"/>
          <w:b/>
          <w:bCs/>
          <w:color w:val="000000" w:themeColor="text1"/>
          <w:highlight w:val="none"/>
          <w14:textFill>
            <w14:solidFill>
              <w14:schemeClr w14:val="tx1"/>
            </w14:solidFill>
          </w14:textFill>
        </w:rPr>
        <w:t>.</w:t>
      </w: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深化“综合查一次”改革。</w:t>
      </w:r>
      <w:r>
        <w:rPr>
          <w:rFonts w:hint="eastAsia"/>
          <w:color w:val="000000" w:themeColor="text1"/>
          <w:highlight w:val="none"/>
          <w:lang w:val="en-US" w:eastAsia="zh-CN"/>
          <w14:textFill>
            <w14:solidFill>
              <w14:schemeClr w14:val="tx1"/>
            </w14:solidFill>
          </w14:textFill>
        </w:rPr>
        <w:t>持续扩大覆盖范围至文旅、养老等新领域，通过制度宣贯、系统支撑、场景整合与机制融合，推动涉企检查从“多头分次”向“综合一次”转变，构建分级</w:t>
      </w:r>
      <w:r>
        <w:rPr>
          <w:rFonts w:hint="eastAsia"/>
          <w:color w:val="auto"/>
          <w:highlight w:val="none"/>
          <w:lang w:val="en-US" w:eastAsia="zh-CN"/>
        </w:rPr>
        <w:t>分类、精准高效的联合监管新模式，减少对企业干扰。</w:t>
      </w:r>
    </w:p>
    <w:p>
      <w:pPr>
        <w:pStyle w:val="3"/>
        <w:rPr>
          <w:rStyle w:val="44"/>
          <w:rFonts w:hint="eastAsia" w:ascii="仿宋_GB2312" w:hAnsi="仿宋_GB2312" w:eastAsia="仿宋_GB2312" w:cs="仿宋_GB2312"/>
          <w:color w:val="auto"/>
          <w:highlight w:val="none"/>
          <w:lang w:val="en-US" w:eastAsia="zh-CN"/>
        </w:rPr>
      </w:pPr>
      <w:r>
        <w:rPr>
          <w:rStyle w:val="44"/>
          <w:rFonts w:hint="eastAsia" w:ascii="仿宋_GB2312" w:hAnsi="仿宋_GB2312" w:eastAsia="仿宋_GB2312" w:cs="仿宋_GB2312"/>
          <w:b/>
          <w:bCs/>
          <w:color w:val="auto"/>
          <w:highlight w:val="none"/>
          <w:lang w:val="en-US" w:eastAsia="zh-CN"/>
        </w:rPr>
        <w:t>3</w:t>
      </w:r>
      <w:r>
        <w:rPr>
          <w:rStyle w:val="44"/>
          <w:rFonts w:hint="eastAsia" w:cs="仿宋_GB2312"/>
          <w:b/>
          <w:bCs/>
          <w:color w:val="auto"/>
          <w:highlight w:val="none"/>
          <w:lang w:val="en-US" w:eastAsia="zh-CN"/>
        </w:rPr>
        <w:t>6</w:t>
      </w:r>
      <w:r>
        <w:rPr>
          <w:rStyle w:val="44"/>
          <w:rFonts w:hint="eastAsia" w:ascii="仿宋_GB2312" w:hAnsi="仿宋_GB2312" w:eastAsia="仿宋_GB2312" w:cs="仿宋_GB2312"/>
          <w:b/>
          <w:bCs/>
          <w:color w:val="auto"/>
          <w:highlight w:val="none"/>
          <w:lang w:val="en-US" w:eastAsia="zh-CN"/>
        </w:rPr>
        <w:t>.严格规范涉企行政检查</w:t>
      </w:r>
      <w:r>
        <w:rPr>
          <w:rStyle w:val="44"/>
          <w:rFonts w:hint="eastAsia" w:cs="仿宋_GB2312"/>
          <w:b/>
          <w:bCs/>
          <w:color w:val="auto"/>
          <w:highlight w:val="none"/>
          <w:lang w:val="en-US" w:eastAsia="zh-CN"/>
        </w:rPr>
        <w:t>。</w:t>
      </w:r>
      <w:r>
        <w:rPr>
          <w:rStyle w:val="44"/>
          <w:rFonts w:hint="eastAsia" w:ascii="仿宋_GB2312" w:hAnsi="仿宋_GB2312" w:eastAsia="仿宋_GB2312" w:cs="仿宋_GB2312"/>
          <w:color w:val="auto"/>
          <w:highlight w:val="none"/>
          <w:lang w:val="en-US" w:eastAsia="zh-CN"/>
        </w:rPr>
        <w:t>全面推行“亮码检查”，创新检查方式，通过风险提示、指导帮扶、责任约谈、督促整改等包容审慎的方式引导企业依法经营。推行分级分类行政检查模式，加大企业信用风险分类管理。梳理协调解决不同领域行政检查标准冲突。开展涉企收费政策评估审核强化乱收费源头治理行动，进一步完善涉企收费监管长效机制。</w:t>
      </w:r>
    </w:p>
    <w:p>
      <w:pPr>
        <w:pStyle w:val="3"/>
        <w:rPr>
          <w:rStyle w:val="44"/>
          <w:rFonts w:hint="default" w:ascii="仿宋_GB2312" w:hAnsi="仿宋_GB2312" w:eastAsia="仿宋_GB2312" w:cs="仿宋_GB2312"/>
          <w:color w:val="000000" w:themeColor="text1"/>
          <w:highlight w:val="none"/>
          <w:lang w:val="en-US" w:eastAsia="zh-CN"/>
          <w14:textFill>
            <w14:solidFill>
              <w14:schemeClr w14:val="tx1"/>
            </w14:solidFill>
          </w14:textFill>
        </w:rPr>
      </w:pPr>
      <w:r>
        <w:rPr>
          <w:rStyle w:val="44"/>
          <w:rFonts w:hint="eastAsia" w:ascii="仿宋_GB2312" w:hAnsi="仿宋_GB2312" w:eastAsia="仿宋_GB2312" w:cs="仿宋_GB2312"/>
          <w:b/>
          <w:bCs/>
          <w:color w:val="auto"/>
          <w:highlight w:val="none"/>
          <w:lang w:val="en-US" w:eastAsia="zh-CN"/>
        </w:rPr>
        <w:t>37.深化涉企柔性执法</w:t>
      </w:r>
      <w:r>
        <w:rPr>
          <w:rStyle w:val="44"/>
          <w:rFonts w:hint="eastAsia" w:cs="仿宋_GB2312"/>
          <w:b/>
          <w:bCs/>
          <w:color w:val="auto"/>
          <w:highlight w:val="none"/>
          <w:lang w:val="en-US" w:eastAsia="zh-CN"/>
        </w:rPr>
        <w:t>。</w:t>
      </w:r>
      <w:r>
        <w:rPr>
          <w:rStyle w:val="44"/>
          <w:rFonts w:hint="eastAsia" w:ascii="仿宋_GB2312" w:hAnsi="仿宋_GB2312" w:eastAsia="仿宋_GB2312" w:cs="仿宋_GB2312"/>
          <w:color w:val="auto"/>
          <w:highlight w:val="none"/>
          <w:lang w:val="en-US" w:eastAsia="zh-CN"/>
        </w:rPr>
        <w:t>全面落实“首违不罚、轻微免罚、过罚相当”理念，动态更新调整行政处罚减免责“四张清单”，杜绝“一刀切”“运动式”执法</w:t>
      </w:r>
      <w:r>
        <w:rPr>
          <w:rStyle w:val="44"/>
          <w:rFonts w:hint="eastAsia" w:ascii="仿宋_GB2312" w:hAnsi="仿宋_GB2312" w:eastAsia="仿宋_GB2312" w:cs="仿宋_GB2312"/>
          <w:color w:val="000000" w:themeColor="text1"/>
          <w:highlight w:val="none"/>
          <w:lang w:val="en-US" w:eastAsia="zh-CN"/>
          <w14:textFill>
            <w14:solidFill>
              <w14:schemeClr w14:val="tx1"/>
            </w14:solidFill>
          </w14:textFill>
        </w:rPr>
        <w:t>。转变“以罚代管”模式，推行全程说理式执法，杜绝“类案不同罚”行为，实施行政处罚“三书同达”。加大涉企行政执法监督，畅通涉企行政执法诉求沟通渠道，统筹推进重大行政处罚备案制度，加强行政执法监督与法治督察、纪检监察协作衔接。</w:t>
      </w:r>
    </w:p>
    <w:p>
      <w:pPr>
        <w:pStyle w:val="3"/>
        <w:rPr>
          <w:rFonts w:hint="eastAsia"/>
          <w:color w:val="000000" w:themeColor="text1"/>
          <w:highlight w:val="none"/>
          <w:lang w:val="en-US" w:eastAsia="zh-CN"/>
          <w14:textFill>
            <w14:solidFill>
              <w14:schemeClr w14:val="tx1"/>
            </w14:solidFill>
          </w14:textFill>
        </w:rPr>
      </w:pPr>
      <w:r>
        <w:rPr>
          <w:rStyle w:val="44"/>
          <w:rFonts w:hint="eastAsia" w:cs="仿宋_GB2312"/>
          <w:b/>
          <w:bCs/>
          <w:color w:val="000000" w:themeColor="text1"/>
          <w:highlight w:val="none"/>
          <w:lang w:val="en-US" w:eastAsia="zh-CN"/>
          <w14:textFill>
            <w14:solidFill>
              <w14:schemeClr w14:val="tx1"/>
            </w14:solidFill>
          </w14:textFill>
        </w:rPr>
        <w:t>38</w:t>
      </w:r>
      <w:r>
        <w:rPr>
          <w:rStyle w:val="44"/>
          <w:rFonts w:hint="eastAsia" w:ascii="仿宋_GB2312" w:hAnsi="仿宋_GB2312" w:eastAsia="仿宋_GB2312" w:cs="仿宋_GB2312"/>
          <w:b/>
          <w:bCs/>
          <w:color w:val="000000" w:themeColor="text1"/>
          <w:highlight w:val="none"/>
          <w14:textFill>
            <w14:solidFill>
              <w14:schemeClr w14:val="tx1"/>
            </w14:solidFill>
          </w14:textFill>
        </w:rPr>
        <w:t>.优化企业司法服务体系。</w:t>
      </w:r>
      <w:r>
        <w:rPr>
          <w:rFonts w:hint="eastAsia"/>
          <w:color w:val="000000" w:themeColor="text1"/>
          <w:highlight w:val="none"/>
          <w:lang w:val="en-US" w:eastAsia="zh-CN"/>
          <w14:textFill>
            <w14:solidFill>
              <w14:schemeClr w14:val="tx1"/>
            </w14:solidFill>
          </w14:textFill>
        </w:rPr>
        <w:t>规范司法权力运行，完善司法公正实现和评价机制，提高司法裁判公正性、稳定性、权威性。探索推行“阳光司法指数”评估，建立“权责清晰、流程规范、监督有效”的司法权力运行机制，实现司法公开工作的 “可视化、可量化、可考核”。深化诉讼便利化与智能化应用，推广线上立案，依托“人民法院在线服务”、24小时自助立案服务推行网上立案，加强网上立案审核监管，为当事人提供便捷、高效的立案途径。</w:t>
      </w:r>
      <w:r>
        <w:rPr>
          <w:rFonts w:hint="eastAsia" w:ascii="仿宋_GB2312" w:hAnsi="仿宋_GB2312" w:eastAsia="仿宋_GB2312" w:cs="仿宋_GB2312"/>
          <w:b w:val="0"/>
          <w:bCs w:val="0"/>
          <w:color w:val="000000" w:themeColor="text1"/>
          <w:kern w:val="2"/>
          <w:sz w:val="32"/>
          <w:szCs w:val="32"/>
          <w:highlight w:val="none"/>
          <w:lang w:val="en-US" w:eastAsia="zh-CN" w:bidi="ar-SA"/>
          <w14:textFill>
            <w14:solidFill>
              <w14:schemeClr w14:val="tx1"/>
            </w14:solidFill>
          </w14:textFill>
        </w:rPr>
        <w:t>推广示范文本应用，提供要素式诉状智能化填写、转换服务，提升示范文本应用率和立案工作效率。</w:t>
      </w:r>
    </w:p>
    <w:p>
      <w:pPr>
        <w:pStyle w:val="3"/>
        <w:rPr>
          <w:rFonts w:hint="eastAsia"/>
          <w:color w:val="000000" w:themeColor="text1"/>
          <w:highlight w:val="none"/>
          <w:lang w:val="en-US" w:eastAsia="zh-CN"/>
          <w14:textFill>
            <w14:solidFill>
              <w14:schemeClr w14:val="tx1"/>
            </w14:solidFill>
          </w14:textFill>
        </w:rPr>
      </w:pPr>
      <w:r>
        <w:rPr>
          <w:rStyle w:val="44"/>
          <w:rFonts w:hint="eastAsia" w:cs="仿宋_GB2312"/>
          <w:b/>
          <w:bCs/>
          <w:color w:val="000000" w:themeColor="text1"/>
          <w:highlight w:val="none"/>
          <w:lang w:val="en-US" w:eastAsia="zh-CN"/>
          <w14:textFill>
            <w14:solidFill>
              <w14:schemeClr w14:val="tx1"/>
            </w14:solidFill>
          </w14:textFill>
        </w:rPr>
        <w:t>39</w:t>
      </w:r>
      <w:r>
        <w:rPr>
          <w:rStyle w:val="44"/>
          <w:rFonts w:hint="eastAsia" w:ascii="仿宋_GB2312" w:hAnsi="仿宋_GB2312" w:eastAsia="仿宋_GB2312" w:cs="仿宋_GB2312"/>
          <w:b/>
          <w:bCs/>
          <w:color w:val="000000" w:themeColor="text1"/>
          <w:highlight w:val="none"/>
          <w14:textFill>
            <w14:solidFill>
              <w14:schemeClr w14:val="tx1"/>
            </w14:solidFill>
          </w14:textFill>
        </w:rPr>
        <w:t>.提升司法案件审理执行质效。</w:t>
      </w:r>
      <w:r>
        <w:rPr>
          <w:rFonts w:hint="eastAsia"/>
          <w:color w:val="000000" w:themeColor="text1"/>
          <w:highlight w:val="none"/>
          <w:lang w:val="en-US" w:eastAsia="zh-CN"/>
          <w14:textFill>
            <w14:solidFill>
              <w14:schemeClr w14:val="tx1"/>
            </w14:solidFill>
          </w14:textFill>
        </w:rPr>
        <w:t>深化“前端分流”改革，推动“简案快审、繁案精审”，实施“示范判决+批量调解”。优化“中端审判”流程，深化智慧法院信息化应用，推进全流程信息化管理。探索“要素式审判”模式，提炼出“合同成立、标的、数量、质量、价款、履行期限、违约责任”等核心要素，庭审围绕争议要素展开，无争议要素直接确认，大幅简化举证质证。强化“末端执行”联动，推行“执行通知前置程序”，开展“涉企被执行人信用码”试点，为涉诉企业被执行人赋予“红、黄、绿”三色信用码，供市场主体在交易扫码时一键查询风险，形成市场性惩戒。深化税务、市场监管等多部门联动的执行长效机制，推动提升执行“一件事”改革，解决执行难问题。支持商事调解组织按照市场化运作的方式提供专业解纷服务，积极对接引入商事调解组织、提高调解专业化、规范化水平。加快培育国际一流仲裁机构，推动与境外知名仲裁及争议解决机构建立合作机制，健全海外知识产权维权援助机制。加快涉外法律人才培养，提升涉外法律人才水平。建立健全国际商事纠纷“调解＋仲裁＋诉讼”一站式解决机制，努力打造国际商事纠纷解决“优选地”。</w:t>
      </w:r>
    </w:p>
    <w:p>
      <w:pPr>
        <w:pStyle w:val="3"/>
        <w:rPr>
          <w:rFonts w:hint="eastAsia"/>
          <w:color w:val="000000" w:themeColor="text1"/>
          <w:highlight w:val="none"/>
          <w:lang w:val="en-US" w:eastAsia="zh-CN"/>
          <w14:textFill>
            <w14:solidFill>
              <w14:schemeClr w14:val="tx1"/>
            </w14:solidFill>
          </w14:textFill>
        </w:rPr>
      </w:pPr>
      <w:r>
        <w:rPr>
          <w:rStyle w:val="44"/>
          <w:rFonts w:hint="eastAsia" w:cs="仿宋_GB2312"/>
          <w:b/>
          <w:bCs/>
          <w:color w:val="000000" w:themeColor="text1"/>
          <w:highlight w:val="none"/>
          <w:lang w:val="en-US" w:eastAsia="zh-CN"/>
          <w14:textFill>
            <w14:solidFill>
              <w14:schemeClr w14:val="tx1"/>
            </w14:solidFill>
          </w14:textFill>
        </w:rPr>
        <w:t>40</w:t>
      </w:r>
      <w:r>
        <w:rPr>
          <w:rStyle w:val="44"/>
          <w:rFonts w:hint="eastAsia" w:ascii="仿宋_GB2312" w:hAnsi="仿宋_GB2312" w:eastAsia="仿宋_GB2312" w:cs="仿宋_GB2312"/>
          <w:b/>
          <w:bCs/>
          <w:color w:val="000000" w:themeColor="text1"/>
          <w:highlight w:val="none"/>
          <w14:textFill>
            <w14:solidFill>
              <w14:schemeClr w14:val="tx1"/>
            </w14:solidFill>
          </w14:textFill>
        </w:rPr>
        <w:t>.持续提升破产审判质效。</w:t>
      </w:r>
      <w:r>
        <w:rPr>
          <w:rFonts w:hint="eastAsia"/>
          <w:color w:val="000000" w:themeColor="text1"/>
          <w:highlight w:val="none"/>
          <w:lang w:val="en-US" w:eastAsia="zh-CN"/>
          <w14:textFill>
            <w14:solidFill>
              <w14:schemeClr w14:val="tx1"/>
            </w14:solidFill>
          </w14:textFill>
        </w:rPr>
        <w:t>完善重组和破产重整机制，支持以市场化方式开展庭外重组。优化破产案件全流程网上办案平台，探索向相关主管部门在线共享破产案件受理等信息。拓宽破产管理人在线查询破产企业信息的范围，提升查询便利度。强化“府院联动”实质化运转，解决破产程序中涉及的税务办理、财产处置、登记注销、职工安置、信用修复等难题。制定破产法庭单独考核工作指引，建立符合破产审判特殊规律的科学评价体系，加强破产法庭队伍建设。建立破产管理人报酬专项保障资金，用于处理无产可破案件。加大“执转破”机制的落实力度，健全“执破衔接”机制。</w:t>
      </w:r>
    </w:p>
    <w:p>
      <w:pPr>
        <w:pStyle w:val="3"/>
        <w:rPr>
          <w:rFonts w:hint="eastAsia"/>
          <w:color w:val="000000" w:themeColor="text1"/>
          <w:highlight w:val="none"/>
          <w:lang w:val="en-US" w:eastAsia="zh-CN"/>
          <w14:textFill>
            <w14:solidFill>
              <w14:schemeClr w14:val="tx1"/>
            </w14:solidFill>
          </w14:textFill>
        </w:rPr>
      </w:pPr>
      <w:r>
        <w:rPr>
          <w:rStyle w:val="44"/>
          <w:rFonts w:hint="eastAsia" w:cs="仿宋_GB2312"/>
          <w:b/>
          <w:bCs/>
          <w:color w:val="000000" w:themeColor="text1"/>
          <w:highlight w:val="none"/>
          <w:lang w:val="en-US" w:eastAsia="zh-CN"/>
          <w14:textFill>
            <w14:solidFill>
              <w14:schemeClr w14:val="tx1"/>
            </w14:solidFill>
          </w14:textFill>
        </w:rPr>
        <w:t>41</w:t>
      </w:r>
      <w:r>
        <w:rPr>
          <w:rStyle w:val="44"/>
          <w:rFonts w:hint="eastAsia" w:ascii="仿宋_GB2312" w:hAnsi="仿宋_GB2312" w:eastAsia="仿宋_GB2312" w:cs="仿宋_GB2312"/>
          <w:b/>
          <w:bCs/>
          <w:color w:val="000000" w:themeColor="text1"/>
          <w:highlight w:val="none"/>
          <w14:textFill>
            <w14:solidFill>
              <w14:schemeClr w14:val="tx1"/>
            </w14:solidFill>
          </w14:textFill>
        </w:rPr>
        <w:t>.全面保障企业合法权益。</w:t>
      </w:r>
      <w:r>
        <w:rPr>
          <w:rStyle w:val="44"/>
          <w:rFonts w:hint="eastAsia" w:ascii="仿宋_GB2312" w:hAnsi="仿宋_GB2312" w:eastAsia="仿宋_GB2312" w:cs="仿宋_GB2312"/>
          <w:b w:val="0"/>
          <w:bCs w:val="0"/>
          <w:color w:val="000000" w:themeColor="text1"/>
          <w:highlight w:val="none"/>
          <w:lang w:val="en-US" w:eastAsia="zh-CN"/>
          <w14:textFill>
            <w14:solidFill>
              <w14:schemeClr w14:val="tx1"/>
            </w14:solidFill>
          </w14:textFill>
        </w:rPr>
        <w:t>适</w:t>
      </w:r>
      <w:r>
        <w:rPr>
          <w:rFonts w:hint="eastAsia"/>
          <w:color w:val="000000" w:themeColor="text1"/>
          <w:highlight w:val="none"/>
          <w:lang w:val="en-US" w:eastAsia="zh-CN"/>
          <w14:textFill>
            <w14:solidFill>
              <w14:schemeClr w14:val="tx1"/>
            </w14:solidFill>
          </w14:textFill>
        </w:rPr>
        <w:t>时开展涉企公证专项检查，加大对违法违规涉企公证、司法鉴定投诉案件的查处力度。推动服务监管创新法治化。逐步完善营商环境相关的法律法规体系，将服务监管改革实践转化为具有约束力的制度，完善以预防为主、服务为本、引导为先的法治化服务监管制度体系。每年筛选并宣传发布一批民营企业的典型案例，增强企业的风险防范意识。完善企业参与涉企政策制定机制，推动企业参与政策制定和评估，注重提升政策制定的针对性、可及性。对经营主体以及行业协会商会定向精准推送涉企政策，统计监测意见反馈情况，充分吸收各类意见提升政策制定科学性。加强企业海外知识产权维权培训，提升海外知识产权纠纷应对指导服务水平。持续开展法律服务进企业活动，护航企业健康发展。常态化开展民营企业法治体检，发挥助企纾困公益服务作用，切实解决企业实际困难。</w:t>
      </w:r>
    </w:p>
    <w:p>
      <w:pPr>
        <w:pStyle w:val="3"/>
        <w:rPr>
          <w:rFonts w:hint="eastAsia" w:ascii="楷体_GB2312" w:hAnsi="楷体_GB2312" w:eastAsia="楷体_GB2312" w:cs="楷体_GB2312"/>
          <w:color w:val="000000" w:themeColor="text1"/>
          <w:highlight w:val="none"/>
          <w:lang w:val="en-US" w:eastAsia="zh-CN"/>
          <w14:textFill>
            <w14:solidFill>
              <w14:schemeClr w14:val="tx1"/>
            </w14:solidFill>
          </w14:textFill>
        </w:rPr>
      </w:pPr>
      <w:r>
        <w:rPr>
          <w:rFonts w:hint="eastAsia" w:ascii="楷体_GB2312" w:hAnsi="楷体_GB2312" w:eastAsia="楷体_GB2312" w:cs="楷体_GB2312"/>
          <w:color w:val="000000" w:themeColor="text1"/>
          <w:highlight w:val="none"/>
          <w:lang w:val="en-US" w:eastAsia="zh-CN"/>
          <w14:textFill>
            <w14:solidFill>
              <w14:schemeClr w14:val="tx1"/>
            </w14:solidFill>
          </w14:textFill>
        </w:rPr>
        <w:t>（六）实施信用体系提质行动</w:t>
      </w:r>
    </w:p>
    <w:p>
      <w:pPr>
        <w:pStyle w:val="3"/>
        <w:rPr>
          <w:rStyle w:val="44"/>
          <w:rFonts w:hint="eastAsia" w:ascii="仿宋_GB2312" w:hAnsi="仿宋_GB2312" w:eastAsia="仿宋_GB2312" w:cs="仿宋_GB2312"/>
          <w:color w:val="000000" w:themeColor="text1"/>
          <w:highlight w:val="none"/>
          <w14:textFill>
            <w14:solidFill>
              <w14:schemeClr w14:val="tx1"/>
            </w14:solidFill>
          </w14:textFill>
        </w:rPr>
      </w:pP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4</w:t>
      </w:r>
      <w:r>
        <w:rPr>
          <w:rStyle w:val="44"/>
          <w:rFonts w:hint="eastAsia" w:cs="仿宋_GB2312"/>
          <w:b/>
          <w:bCs/>
          <w:color w:val="000000" w:themeColor="text1"/>
          <w:highlight w:val="none"/>
          <w:lang w:val="en-US" w:eastAsia="zh-CN"/>
          <w14:textFill>
            <w14:solidFill>
              <w14:schemeClr w14:val="tx1"/>
            </w14:solidFill>
          </w14:textFill>
        </w:rPr>
        <w:t>2</w:t>
      </w:r>
      <w:r>
        <w:rPr>
          <w:rStyle w:val="44"/>
          <w:rFonts w:hint="eastAsia" w:ascii="仿宋_GB2312" w:hAnsi="仿宋_GB2312" w:eastAsia="仿宋_GB2312" w:cs="仿宋_GB2312"/>
          <w:b/>
          <w:bCs/>
          <w:color w:val="000000" w:themeColor="text1"/>
          <w:highlight w:val="none"/>
          <w14:textFill>
            <w14:solidFill>
              <w14:schemeClr w14:val="tx1"/>
            </w14:solidFill>
          </w14:textFill>
        </w:rPr>
        <w:t>.提升</w:t>
      </w:r>
      <w:r>
        <w:rPr>
          <w:rStyle w:val="44"/>
          <w:rFonts w:hint="eastAsia" w:ascii="仿宋_GB2312" w:hAnsi="仿宋_GB2312" w:eastAsia="仿宋_GB2312" w:cs="仿宋_GB2312"/>
          <w:b/>
          <w:bCs/>
          <w:color w:val="000000" w:themeColor="text1"/>
          <w:highlight w:val="none"/>
          <w:lang w:eastAsia="zh-CN"/>
          <w14:textFill>
            <w14:solidFill>
              <w14:schemeClr w14:val="tx1"/>
            </w14:solidFill>
          </w14:textFill>
        </w:rPr>
        <w:t>信用</w:t>
      </w:r>
      <w:r>
        <w:rPr>
          <w:rStyle w:val="44"/>
          <w:rFonts w:hint="eastAsia" w:ascii="仿宋_GB2312" w:hAnsi="仿宋_GB2312" w:eastAsia="仿宋_GB2312" w:cs="仿宋_GB2312"/>
          <w:b/>
          <w:bCs/>
          <w:color w:val="000000" w:themeColor="text1"/>
          <w:highlight w:val="none"/>
          <w14:textFill>
            <w14:solidFill>
              <w14:schemeClr w14:val="tx1"/>
            </w14:solidFill>
          </w14:textFill>
        </w:rPr>
        <w:t>数据归集质效。</w:t>
      </w:r>
      <w:r>
        <w:rPr>
          <w:rStyle w:val="44"/>
          <w:rFonts w:hint="eastAsia" w:ascii="仿宋_GB2312" w:hAnsi="仿宋_GB2312" w:eastAsia="仿宋_GB2312" w:cs="仿宋_GB2312"/>
          <w:color w:val="000000" w:themeColor="text1"/>
          <w:highlight w:val="none"/>
          <w14:textFill>
            <w14:solidFill>
              <w14:schemeClr w14:val="tx1"/>
            </w14:solidFill>
          </w14:textFill>
        </w:rPr>
        <w:t>信用平台系统全量推送“双公示”、信用承诺、行政“五类”、水、电、气、不动产、科技研发、荣誉表彰等专项数据，回流省信用平台社保、纳税、公积金、被执行人、裁决文书等专项数据，确保专项数据达到国家考核标准，“双公示”数据上报率、及时率保持全省领先，合规率保持100%。</w:t>
      </w:r>
    </w:p>
    <w:p>
      <w:pPr>
        <w:pStyle w:val="3"/>
        <w:rPr>
          <w:rStyle w:val="44"/>
          <w:rFonts w:hint="eastAsia" w:ascii="仿宋_GB2312" w:hAnsi="仿宋_GB2312" w:eastAsia="仿宋_GB2312" w:cs="仿宋_GB2312"/>
          <w:color w:val="000000" w:themeColor="text1"/>
          <w:highlight w:val="none"/>
          <w14:textFill>
            <w14:solidFill>
              <w14:schemeClr w14:val="tx1"/>
            </w14:solidFill>
          </w14:textFill>
        </w:rPr>
      </w:pP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4</w:t>
      </w:r>
      <w:r>
        <w:rPr>
          <w:rStyle w:val="44"/>
          <w:rFonts w:hint="eastAsia" w:cs="仿宋_GB2312"/>
          <w:b/>
          <w:bCs/>
          <w:color w:val="000000" w:themeColor="text1"/>
          <w:highlight w:val="none"/>
          <w:lang w:val="en-US" w:eastAsia="zh-CN"/>
          <w14:textFill>
            <w14:solidFill>
              <w14:schemeClr w14:val="tx1"/>
            </w14:solidFill>
          </w14:textFill>
        </w:rPr>
        <w:t>3.</w:t>
      </w:r>
      <w:r>
        <w:rPr>
          <w:rStyle w:val="44"/>
          <w:rFonts w:hint="eastAsia" w:ascii="仿宋_GB2312" w:hAnsi="仿宋_GB2312" w:eastAsia="仿宋_GB2312" w:cs="仿宋_GB2312"/>
          <w:b/>
          <w:bCs/>
          <w:color w:val="000000" w:themeColor="text1"/>
          <w:highlight w:val="none"/>
          <w14:textFill>
            <w14:solidFill>
              <w14:schemeClr w14:val="tx1"/>
            </w14:solidFill>
          </w14:textFill>
        </w:rPr>
        <w:t>健全政务诚信评价体系。</w:t>
      </w:r>
      <w:r>
        <w:rPr>
          <w:rStyle w:val="44"/>
          <w:rFonts w:hint="eastAsia" w:ascii="仿宋_GB2312" w:hAnsi="仿宋_GB2312" w:eastAsia="仿宋_GB2312" w:cs="仿宋_GB2312"/>
          <w:color w:val="000000" w:themeColor="text1"/>
          <w:highlight w:val="none"/>
          <w14:textFill>
            <w14:solidFill>
              <w14:schemeClr w14:val="tx1"/>
            </w14:solidFill>
          </w14:textFill>
        </w:rPr>
        <w:t>完善政府合同履约监管机制，开通“合同履约”社会监督端口，确保数据全量归集。强化国企合同履约管理，开展对国企虚假宣传、拖欠账款等失信问题专项治理</w:t>
      </w:r>
      <w:r>
        <w:rPr>
          <w:rStyle w:val="44"/>
          <w:rFonts w:hint="eastAsia" w:cs="仿宋_GB2312"/>
          <w:color w:val="000000" w:themeColor="text1"/>
          <w:highlight w:val="none"/>
          <w:lang w:eastAsia="zh-CN"/>
          <w14:textFill>
            <w14:solidFill>
              <w14:schemeClr w14:val="tx1"/>
            </w14:solidFill>
          </w14:textFill>
        </w:rPr>
        <w:t>，</w:t>
      </w:r>
      <w:r>
        <w:rPr>
          <w:rStyle w:val="44"/>
          <w:rFonts w:hint="eastAsia" w:ascii="仿宋_GB2312" w:hAnsi="仿宋_GB2312" w:eastAsia="仿宋_GB2312" w:cs="仿宋_GB2312"/>
          <w:color w:val="000000" w:themeColor="text1"/>
          <w:highlight w:val="none"/>
          <w14:textFill>
            <w14:solidFill>
              <w14:schemeClr w14:val="tx1"/>
            </w14:solidFill>
          </w14:textFill>
        </w:rPr>
        <w:t>推行公职人员诚信管理。</w:t>
      </w:r>
    </w:p>
    <w:p>
      <w:pPr>
        <w:pStyle w:val="3"/>
        <w:rPr>
          <w:rStyle w:val="44"/>
          <w:rFonts w:hint="eastAsia" w:ascii="仿宋_GB2312" w:hAnsi="仿宋_GB2312" w:eastAsia="仿宋_GB2312" w:cs="仿宋_GB2312"/>
          <w:color w:val="000000" w:themeColor="text1"/>
          <w:highlight w:val="none"/>
          <w14:textFill>
            <w14:solidFill>
              <w14:schemeClr w14:val="tx1"/>
            </w14:solidFill>
          </w14:textFill>
        </w:rPr>
      </w:pP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4</w:t>
      </w:r>
      <w:r>
        <w:rPr>
          <w:rStyle w:val="44"/>
          <w:rFonts w:hint="eastAsia" w:cs="仿宋_GB2312"/>
          <w:b/>
          <w:bCs/>
          <w:color w:val="000000" w:themeColor="text1"/>
          <w:highlight w:val="none"/>
          <w:lang w:val="en-US" w:eastAsia="zh-CN"/>
          <w14:textFill>
            <w14:solidFill>
              <w14:schemeClr w14:val="tx1"/>
            </w14:solidFill>
          </w14:textFill>
        </w:rPr>
        <w:t>4</w:t>
      </w:r>
      <w:r>
        <w:rPr>
          <w:rStyle w:val="44"/>
          <w:rFonts w:hint="eastAsia" w:ascii="仿宋_GB2312" w:hAnsi="仿宋_GB2312" w:eastAsia="仿宋_GB2312" w:cs="仿宋_GB2312"/>
          <w:b/>
          <w:bCs/>
          <w:color w:val="000000" w:themeColor="text1"/>
          <w:highlight w:val="none"/>
          <w14:textFill>
            <w14:solidFill>
              <w14:schemeClr w14:val="tx1"/>
            </w14:solidFill>
          </w14:textFill>
        </w:rPr>
        <w:t>.强化信用评价结果应用。</w:t>
      </w:r>
      <w:r>
        <w:rPr>
          <w:rStyle w:val="44"/>
          <w:rFonts w:hint="eastAsia" w:ascii="仿宋_GB2312" w:hAnsi="仿宋_GB2312" w:eastAsia="仿宋_GB2312" w:cs="仿宋_GB2312"/>
          <w:color w:val="000000" w:themeColor="text1"/>
          <w:highlight w:val="none"/>
          <w14:textFill>
            <w14:solidFill>
              <w14:schemeClr w14:val="tx1"/>
            </w14:solidFill>
          </w14:textFill>
        </w:rPr>
        <w:t>归集重点领域信用评价结果，在更多重点领域推行信用分级分类监管，建立重点职业人群信用管理体系，推动公共信用评价与行业信用评价深度联动。</w:t>
      </w:r>
    </w:p>
    <w:p>
      <w:pPr>
        <w:pStyle w:val="3"/>
        <w:rPr>
          <w:rStyle w:val="44"/>
          <w:rFonts w:hint="eastAsia" w:ascii="仿宋_GB2312" w:hAnsi="仿宋_GB2312" w:eastAsia="仿宋_GB2312" w:cs="仿宋_GB2312"/>
          <w:color w:val="000000" w:themeColor="text1"/>
          <w:highlight w:val="none"/>
          <w:lang w:eastAsia="zh-CN"/>
          <w14:textFill>
            <w14:solidFill>
              <w14:schemeClr w14:val="tx1"/>
            </w14:solidFill>
          </w14:textFill>
        </w:rPr>
      </w:pP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4</w:t>
      </w:r>
      <w:r>
        <w:rPr>
          <w:rStyle w:val="44"/>
          <w:rFonts w:hint="eastAsia" w:cs="仿宋_GB2312"/>
          <w:b/>
          <w:bCs/>
          <w:color w:val="000000" w:themeColor="text1"/>
          <w:highlight w:val="none"/>
          <w:lang w:val="en-US" w:eastAsia="zh-CN"/>
          <w14:textFill>
            <w14:solidFill>
              <w14:schemeClr w14:val="tx1"/>
            </w14:solidFill>
          </w14:textFill>
        </w:rPr>
        <w:t>5</w:t>
      </w:r>
      <w:r>
        <w:rPr>
          <w:rStyle w:val="44"/>
          <w:rFonts w:hint="eastAsia" w:ascii="仿宋_GB2312" w:hAnsi="仿宋_GB2312" w:eastAsia="仿宋_GB2312" w:cs="仿宋_GB2312"/>
          <w:b/>
          <w:bCs/>
          <w:color w:val="000000" w:themeColor="text1"/>
          <w:highlight w:val="none"/>
          <w14:textFill>
            <w14:solidFill>
              <w14:schemeClr w14:val="tx1"/>
            </w14:solidFill>
          </w14:textFill>
        </w:rPr>
        <w:t>.深化信用修复联动机制改革。</w:t>
      </w:r>
      <w:r>
        <w:rPr>
          <w:rStyle w:val="44"/>
          <w:rFonts w:hint="eastAsia" w:ascii="仿宋_GB2312" w:hAnsi="仿宋_GB2312" w:eastAsia="仿宋_GB2312" w:cs="仿宋_GB2312"/>
          <w:color w:val="000000" w:themeColor="text1"/>
          <w:highlight w:val="none"/>
          <w14:textFill>
            <w14:solidFill>
              <w14:schemeClr w14:val="tx1"/>
            </w14:solidFill>
          </w14:textFill>
        </w:rPr>
        <w:t>加强信用修复指导，推行“三书同达”机制，提供主动服务，开展跨区域信用修复协作</w:t>
      </w:r>
      <w:r>
        <w:rPr>
          <w:rStyle w:val="44"/>
          <w:rFonts w:hint="eastAsia" w:ascii="仿宋_GB2312" w:hAnsi="仿宋_GB2312" w:eastAsia="仿宋_GB2312" w:cs="仿宋_GB2312"/>
          <w:color w:val="000000" w:themeColor="text1"/>
          <w:highlight w:val="none"/>
          <w:lang w:eastAsia="zh-CN"/>
          <w14:textFill>
            <w14:solidFill>
              <w14:schemeClr w14:val="tx1"/>
            </w14:solidFill>
          </w14:textFill>
        </w:rPr>
        <w:t>，实现海口与经济圈内各市县以及更多省外城市落地跨区域信用修复协同，降低高频失信企业数量。</w:t>
      </w:r>
    </w:p>
    <w:p>
      <w:pPr>
        <w:pStyle w:val="3"/>
        <w:rPr>
          <w:rStyle w:val="44"/>
          <w:rFonts w:hint="eastAsia" w:ascii="仿宋_GB2312" w:hAnsi="仿宋_GB2312" w:eastAsia="仿宋_GB2312" w:cs="仿宋_GB2312"/>
          <w:color w:val="000000" w:themeColor="text1"/>
          <w:highlight w:val="none"/>
          <w14:textFill>
            <w14:solidFill>
              <w14:schemeClr w14:val="tx1"/>
            </w14:solidFill>
          </w14:textFill>
        </w:rPr>
      </w:pPr>
      <w:r>
        <w:rPr>
          <w:rStyle w:val="44"/>
          <w:rFonts w:hint="eastAsia" w:ascii="仿宋_GB2312" w:hAnsi="仿宋_GB2312" w:eastAsia="仿宋_GB2312" w:cs="仿宋_GB2312"/>
          <w:b/>
          <w:bCs/>
          <w:color w:val="000000" w:themeColor="text1"/>
          <w:highlight w:val="none"/>
          <w:lang w:val="en-US" w:eastAsia="zh-CN"/>
          <w14:textFill>
            <w14:solidFill>
              <w14:schemeClr w14:val="tx1"/>
            </w14:solidFill>
          </w14:textFill>
        </w:rPr>
        <w:t>4</w:t>
      </w:r>
      <w:r>
        <w:rPr>
          <w:rStyle w:val="44"/>
          <w:rFonts w:hint="eastAsia" w:cs="仿宋_GB2312"/>
          <w:b/>
          <w:bCs/>
          <w:color w:val="000000" w:themeColor="text1"/>
          <w:highlight w:val="none"/>
          <w:lang w:val="en-US" w:eastAsia="zh-CN"/>
          <w14:textFill>
            <w14:solidFill>
              <w14:schemeClr w14:val="tx1"/>
            </w14:solidFill>
          </w14:textFill>
        </w:rPr>
        <w:t>6</w:t>
      </w:r>
      <w:r>
        <w:rPr>
          <w:rStyle w:val="44"/>
          <w:rFonts w:hint="eastAsia" w:ascii="仿宋_GB2312" w:hAnsi="仿宋_GB2312" w:eastAsia="仿宋_GB2312" w:cs="仿宋_GB2312"/>
          <w:b/>
          <w:bCs/>
          <w:color w:val="000000" w:themeColor="text1"/>
          <w:highlight w:val="none"/>
          <w14:textFill>
            <w14:solidFill>
              <w14:schemeClr w14:val="tx1"/>
            </w14:solidFill>
          </w14:textFill>
        </w:rPr>
        <w:t>.创新拓展信用应用场景建设。</w:t>
      </w:r>
      <w:r>
        <w:rPr>
          <w:rStyle w:val="44"/>
          <w:rFonts w:hint="eastAsia" w:ascii="仿宋_GB2312" w:hAnsi="仿宋_GB2312" w:eastAsia="仿宋_GB2312" w:cs="仿宋_GB2312"/>
          <w:color w:val="000000" w:themeColor="text1"/>
          <w:highlight w:val="none"/>
          <w14:textFill>
            <w14:solidFill>
              <w14:schemeClr w14:val="tx1"/>
            </w14:solidFill>
          </w14:textFill>
        </w:rPr>
        <w:t>新增一批覆盖面广、普惠性强的应用场景。围绕审批、监管、民生等重点领域系统谋划信用场景，打造“一区（园区）一场景、一行业一场景”。集成整合已推出的信用场景，对有复制推广优势的场景进行深化拓展，发挥优秀场景的示范引领作用。做好场景宣传工作，推动更多场景被国家和省认可推广。探索升级“信用＋金融”服务，搭建政银企对接平台，推广信易贷等产品。</w:t>
      </w:r>
    </w:p>
    <w:p>
      <w:pPr>
        <w:pStyle w:val="3"/>
        <w:rPr>
          <w:rStyle w:val="44"/>
          <w:rFonts w:hint="eastAsia" w:ascii="仿宋_GB2312" w:hAnsi="仿宋_GB2312" w:eastAsia="仿宋_GB2312" w:cs="仿宋_GB2312"/>
          <w:color w:val="000000" w:themeColor="text1"/>
          <w:highlight w:val="none"/>
          <w14:textFill>
            <w14:solidFill>
              <w14:schemeClr w14:val="tx1"/>
            </w14:solidFill>
          </w14:textFill>
        </w:rPr>
      </w:pPr>
      <w:r>
        <w:rPr>
          <w:rStyle w:val="44"/>
          <w:rFonts w:hint="eastAsia" w:cs="仿宋_GB2312"/>
          <w:b/>
          <w:bCs/>
          <w:color w:val="000000" w:themeColor="text1"/>
          <w:highlight w:val="none"/>
          <w:lang w:val="en-US" w:eastAsia="zh-CN"/>
          <w14:textFill>
            <w14:solidFill>
              <w14:schemeClr w14:val="tx1"/>
            </w14:solidFill>
          </w14:textFill>
        </w:rPr>
        <w:t>47</w:t>
      </w:r>
      <w:r>
        <w:rPr>
          <w:rStyle w:val="44"/>
          <w:rFonts w:hint="eastAsia" w:ascii="仿宋_GB2312" w:hAnsi="仿宋_GB2312" w:eastAsia="仿宋_GB2312" w:cs="仿宋_GB2312"/>
          <w:b/>
          <w:bCs/>
          <w:color w:val="000000" w:themeColor="text1"/>
          <w:highlight w:val="none"/>
          <w14:textFill>
            <w14:solidFill>
              <w14:schemeClr w14:val="tx1"/>
            </w14:solidFill>
          </w14:textFill>
        </w:rPr>
        <w:t>.推动跨区域协同合作。</w:t>
      </w:r>
      <w:r>
        <w:rPr>
          <w:rStyle w:val="44"/>
          <w:rFonts w:hint="eastAsia" w:ascii="仿宋_GB2312" w:hAnsi="仿宋_GB2312" w:eastAsia="仿宋_GB2312" w:cs="仿宋_GB2312"/>
          <w:color w:val="000000" w:themeColor="text1"/>
          <w:highlight w:val="none"/>
          <w14:textFill>
            <w14:solidFill>
              <w14:schemeClr w14:val="tx1"/>
            </w14:solidFill>
          </w14:textFill>
        </w:rPr>
        <w:t>强化海口市经济圈信用协同，推广专项信用报告“异地可开、一纸互认”机制，建立信用协同监管机制，开展经济圈内跨区域信用修复协作。扩大与广东、吉林、杭州、天津等省市的信用合作范围，推动“金椰分”与更多城市信用分互认，推动信用信息共享。探索跨境信用服务，联合广州、珠海、深圳、湛江等广东省重点合作城市，结合两地政策优势，开展有特色的跨境信用服务。</w:t>
      </w:r>
    </w:p>
    <w:p>
      <w:pPr>
        <w:pStyle w:val="2"/>
        <w:bidi w:val="0"/>
        <w:rPr>
          <w:rFonts w:hint="eastAsia"/>
          <w:color w:val="000000" w:themeColor="text1"/>
          <w:highlight w:val="none"/>
          <w:lang w:val="en-US" w:eastAsia="zh-CN"/>
          <w14:textFill>
            <w14:solidFill>
              <w14:schemeClr w14:val="tx1"/>
            </w14:solidFill>
          </w14:textFill>
        </w:rPr>
      </w:pPr>
      <w:r>
        <w:rPr>
          <w:rFonts w:hint="eastAsia" w:ascii="黑体" w:hAnsi="宋体" w:cs="黑体"/>
          <w:color w:val="000000" w:themeColor="text1"/>
          <w:highlight w:val="none"/>
          <w:lang w:val="en-US" w:eastAsia="zh-CN"/>
          <w14:textFill>
            <w14:solidFill>
              <w14:schemeClr w14:val="tx1"/>
            </w14:solidFill>
          </w14:textFill>
        </w:rPr>
        <w:t>四</w:t>
      </w:r>
      <w:r>
        <w:rPr>
          <w:rFonts w:ascii="黑体" w:hAnsi="宋体" w:eastAsia="黑体" w:cs="黑体"/>
          <w:color w:val="000000" w:themeColor="text1"/>
          <w:highlight w:val="none"/>
          <w14:textFill>
            <w14:solidFill>
              <w14:schemeClr w14:val="tx1"/>
            </w14:solidFill>
          </w14:textFill>
        </w:rPr>
        <w:t>、工作要求</w:t>
      </w:r>
    </w:p>
    <w:p>
      <w:pPr>
        <w:pStyle w:val="3"/>
        <w:bidi w:val="0"/>
        <w:rPr>
          <w:rFonts w:hint="default"/>
          <w:color w:val="000000" w:themeColor="text1"/>
          <w:highlight w:val="none"/>
          <w:lang w:val="en-US" w:eastAsia="zh-CN"/>
          <w14:textFill>
            <w14:solidFill>
              <w14:schemeClr w14:val="tx1"/>
            </w14:solidFill>
          </w14:textFill>
        </w:rPr>
      </w:pPr>
      <w:r>
        <w:rPr>
          <w:rFonts w:hint="default" w:ascii="Times New Roman" w:hAnsi="Times New Roman" w:eastAsia="楷体_GB2312" w:cs="方正楷体_GB2312"/>
          <w:bCs/>
          <w:color w:val="000000" w:themeColor="text1"/>
          <w:spacing w:val="6"/>
          <w:sz w:val="32"/>
          <w:szCs w:val="40"/>
          <w:highlight w:val="none"/>
          <w:lang w:val="en-US" w:eastAsia="zh-CN" w:bidi="ar-SA"/>
          <w14:textFill>
            <w14:solidFill>
              <w14:schemeClr w14:val="tx1"/>
            </w14:solidFill>
          </w14:textFill>
        </w:rPr>
        <w:t>（一）提高认识，加强组织领导。</w:t>
      </w:r>
      <w:r>
        <w:rPr>
          <w:rFonts w:hint="default"/>
          <w:color w:val="000000" w:themeColor="text1"/>
          <w:highlight w:val="none"/>
          <w:lang w:val="en-US" w:eastAsia="zh-CN"/>
          <w14:textFill>
            <w14:solidFill>
              <w14:schemeClr w14:val="tx1"/>
            </w14:solidFill>
          </w14:textFill>
        </w:rPr>
        <w:t>各单位要提高政治站位，高度重视</w:t>
      </w:r>
      <w:r>
        <w:rPr>
          <w:rFonts w:hint="eastAsia"/>
          <w:color w:val="000000" w:themeColor="text1"/>
          <w:highlight w:val="none"/>
          <w:lang w:val="en-US" w:eastAsia="zh-CN"/>
          <w14:textFill>
            <w14:solidFill>
              <w14:schemeClr w14:val="tx1"/>
            </w14:solidFill>
          </w14:textFill>
        </w:rPr>
        <w:t>服务企业</w:t>
      </w:r>
      <w:r>
        <w:rPr>
          <w:rFonts w:hint="default"/>
          <w:color w:val="000000" w:themeColor="text1"/>
          <w:highlight w:val="none"/>
          <w:lang w:val="en-US" w:eastAsia="zh-CN"/>
          <w14:textFill>
            <w14:solidFill>
              <w14:schemeClr w14:val="tx1"/>
            </w14:solidFill>
          </w14:textFill>
        </w:rPr>
        <w:t>工作，把优化企业发展环境作为优化营商环境的重要组成部分一并抓好落实，高标准高质量推进我市营商环境建设，市发改委、市工商联要切实扛起助力企业发展壮大、推动民营经济高质量发展的使命担当。各部门主要负责人是履行优化营商环境的</w:t>
      </w:r>
      <w:r>
        <w:rPr>
          <w:rFonts w:hint="eastAsia"/>
          <w:color w:val="000000" w:themeColor="text1"/>
          <w:highlight w:val="none"/>
          <w:lang w:val="en-US"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第一责任人</w:t>
      </w:r>
      <w:r>
        <w:rPr>
          <w:rFonts w:hint="eastAsia"/>
          <w:color w:val="000000" w:themeColor="text1"/>
          <w:highlight w:val="none"/>
          <w:lang w:val="en-US"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，要结合本单位工作职责制定落实措施，明确分管领导，责任到人，列出清单、挂账推进，确保</w:t>
      </w:r>
      <w:r>
        <w:rPr>
          <w:rFonts w:hint="eastAsia"/>
          <w:color w:val="000000" w:themeColor="text1"/>
          <w:highlight w:val="none"/>
          <w:lang w:val="en-US" w:eastAsia="zh-CN"/>
          <w14:textFill>
            <w14:solidFill>
              <w14:schemeClr w14:val="tx1"/>
            </w14:solidFill>
          </w14:textFill>
        </w:rPr>
        <w:t>各项任务</w:t>
      </w:r>
      <w:r>
        <w:rPr>
          <w:rFonts w:hint="default"/>
          <w:color w:val="000000" w:themeColor="text1"/>
          <w:highlight w:val="none"/>
          <w:lang w:val="en-US" w:eastAsia="zh-CN"/>
          <w14:textFill>
            <w14:solidFill>
              <w14:schemeClr w14:val="tx1"/>
            </w14:solidFill>
          </w14:textFill>
        </w:rPr>
        <w:t>取得实效。市委财经营商委优化营商环境专项工作办公室牵头做好统筹协调工作，</w:t>
      </w:r>
      <w:r>
        <w:rPr>
          <w:rFonts w:hint="eastAsia"/>
          <w:color w:val="000000" w:themeColor="text1"/>
          <w:highlight w:val="none"/>
          <w:lang w:val="en-US" w:eastAsia="zh-CN"/>
          <w14:textFill>
            <w14:solidFill>
              <w14:schemeClr w14:val="tx1"/>
            </w14:solidFill>
          </w14:textFill>
        </w:rPr>
        <w:t>适时提请</w:t>
      </w:r>
      <w:r>
        <w:rPr>
          <w:rFonts w:hint="default"/>
          <w:color w:val="000000" w:themeColor="text1"/>
          <w:highlight w:val="none"/>
          <w:lang w:val="en-US" w:eastAsia="zh-CN"/>
          <w14:textFill>
            <w14:solidFill>
              <w14:schemeClr w14:val="tx1"/>
            </w14:solidFill>
          </w14:textFill>
        </w:rPr>
        <w:t>市委财经营商委召开</w:t>
      </w:r>
      <w:r>
        <w:rPr>
          <w:rFonts w:hint="eastAsia"/>
          <w:color w:val="000000" w:themeColor="text1"/>
          <w:highlight w:val="none"/>
          <w:lang w:val="en-US" w:eastAsia="zh-CN"/>
          <w14:textFill>
            <w14:solidFill>
              <w14:schemeClr w14:val="tx1"/>
            </w14:solidFill>
          </w14:textFill>
        </w:rPr>
        <w:t>会议</w:t>
      </w:r>
      <w:r>
        <w:rPr>
          <w:rFonts w:hint="default"/>
          <w:color w:val="000000" w:themeColor="text1"/>
          <w:highlight w:val="none"/>
          <w:lang w:val="en-US" w:eastAsia="zh-CN"/>
          <w14:textFill>
            <w14:solidFill>
              <w14:schemeClr w14:val="tx1"/>
            </w14:solidFill>
          </w14:textFill>
        </w:rPr>
        <w:t>研究调度。</w:t>
      </w:r>
    </w:p>
    <w:p>
      <w:pPr>
        <w:pStyle w:val="3"/>
        <w:bidi w:val="0"/>
        <w:rPr>
          <w:rFonts w:hint="eastAsia"/>
          <w:color w:val="000000" w:themeColor="text1"/>
          <w:highlight w:val="none"/>
          <w:lang w:val="en-US" w:eastAsia="zh-CN"/>
          <w14:textFill>
            <w14:solidFill>
              <w14:schemeClr w14:val="tx1"/>
            </w14:solidFill>
          </w14:textFill>
        </w:rPr>
      </w:pPr>
      <w:r>
        <w:rPr>
          <w:rFonts w:hint="default" w:ascii="Times New Roman" w:hAnsi="Times New Roman" w:eastAsia="楷体_GB2312" w:cs="方正楷体_GB2312"/>
          <w:bCs/>
          <w:color w:val="000000" w:themeColor="text1"/>
          <w:spacing w:val="6"/>
          <w:sz w:val="32"/>
          <w:szCs w:val="40"/>
          <w:highlight w:val="none"/>
          <w:lang w:val="en-US" w:eastAsia="zh-CN" w:bidi="ar-SA"/>
          <w14:textFill>
            <w14:solidFill>
              <w14:schemeClr w14:val="tx1"/>
            </w14:solidFill>
          </w14:textFill>
        </w:rPr>
        <w:t>（二）主动作为，建立长效机制。</w:t>
      </w:r>
      <w:r>
        <w:rPr>
          <w:rFonts w:hint="default"/>
          <w:color w:val="000000" w:themeColor="text1"/>
          <w:highlight w:val="none"/>
          <w:lang w:val="en-US" w:eastAsia="zh-CN"/>
          <w14:textFill>
            <w14:solidFill>
              <w14:schemeClr w14:val="tx1"/>
            </w14:solidFill>
          </w14:textFill>
        </w:rPr>
        <w:t>各单位要主动把工作任务</w:t>
      </w:r>
      <w:r>
        <w:rPr>
          <w:rFonts w:hint="eastAsia"/>
          <w:color w:val="000000" w:themeColor="text1"/>
          <w:highlight w:val="none"/>
          <w:lang w:val="en-US"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扛在肩上</w:t>
      </w:r>
      <w:r>
        <w:rPr>
          <w:rFonts w:hint="eastAsia"/>
          <w:color w:val="000000" w:themeColor="text1"/>
          <w:highlight w:val="none"/>
          <w:lang w:val="en-US"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，进一步解放思想、转变观念，真抓实干、守正创新。各区（各园区）要压实</w:t>
      </w:r>
      <w:r>
        <w:rPr>
          <w:rFonts w:hint="eastAsia"/>
          <w:color w:val="000000" w:themeColor="text1"/>
          <w:highlight w:val="none"/>
          <w:lang w:val="en-US" w:eastAsia="zh-CN"/>
          <w14:textFill>
            <w14:solidFill>
              <w14:schemeClr w14:val="tx1"/>
            </w14:solidFill>
          </w14:textFill>
        </w:rPr>
        <w:t>优化营商环境</w:t>
      </w:r>
      <w:r>
        <w:rPr>
          <w:rFonts w:hint="default"/>
          <w:color w:val="000000" w:themeColor="text1"/>
          <w:highlight w:val="none"/>
          <w:lang w:val="en-US" w:eastAsia="zh-CN"/>
          <w14:textFill>
            <w14:solidFill>
              <w14:schemeClr w14:val="tx1"/>
            </w14:solidFill>
          </w14:textFill>
        </w:rPr>
        <w:t>的主体责任，做到</w:t>
      </w:r>
      <w:r>
        <w:rPr>
          <w:rFonts w:hint="eastAsia"/>
          <w:color w:val="000000" w:themeColor="text1"/>
          <w:highlight w:val="none"/>
          <w:lang w:val="en-US"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有事必应、无事不扰、有诺必践</w:t>
      </w:r>
      <w:r>
        <w:rPr>
          <w:rFonts w:hint="eastAsia"/>
          <w:color w:val="000000" w:themeColor="text1"/>
          <w:highlight w:val="none"/>
          <w:lang w:val="en-US"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。各单位要坚持目标导向、问题导向、结果导向，系统施策、长短结合，建立全过程任务落实问题整改长效工作机制，做好任务贯彻落实情况的跟踪检查。</w:t>
      </w:r>
      <w:r>
        <w:rPr>
          <w:rFonts w:hint="eastAsia"/>
          <w:color w:val="000000" w:themeColor="text1"/>
          <w:highlight w:val="none"/>
          <w:lang w:val="en-US"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海口市进一步优化营商环境行动方案（2026-2028年）</w:t>
      </w:r>
      <w:r>
        <w:rPr>
          <w:rFonts w:hint="eastAsia"/>
          <w:color w:val="000000" w:themeColor="text1"/>
          <w:highlight w:val="none"/>
          <w:lang w:val="en-US" w:eastAsia="zh-CN"/>
          <w14:textFill>
            <w14:solidFill>
              <w14:schemeClr w14:val="tx1"/>
            </w14:solidFill>
          </w14:textFill>
        </w:rPr>
        <w:t>》涉及任务</w:t>
      </w:r>
      <w:r>
        <w:rPr>
          <w:rFonts w:hint="default"/>
          <w:color w:val="000000" w:themeColor="text1"/>
          <w:highlight w:val="none"/>
          <w:lang w:val="en-US" w:eastAsia="zh-CN"/>
          <w14:textFill>
            <w14:solidFill>
              <w14:schemeClr w14:val="tx1"/>
            </w14:solidFill>
          </w14:textFill>
        </w:rPr>
        <w:t>列入市级营商环境监测工作范围，作为</w:t>
      </w:r>
      <w:r>
        <w:rPr>
          <w:rFonts w:hint="eastAsia"/>
          <w:color w:val="000000" w:themeColor="text1"/>
          <w:highlight w:val="none"/>
          <w:lang w:val="en-US" w:eastAsia="zh-CN"/>
          <w14:textFill>
            <w14:solidFill>
              <w14:schemeClr w14:val="tx1"/>
            </w14:solidFill>
          </w14:textFill>
        </w:rPr>
        <w:t>年终</w:t>
      </w:r>
      <w:r>
        <w:rPr>
          <w:rFonts w:hint="default"/>
          <w:color w:val="000000" w:themeColor="text1"/>
          <w:highlight w:val="none"/>
          <w:lang w:val="en-US" w:eastAsia="zh-CN"/>
          <w14:textFill>
            <w14:solidFill>
              <w14:schemeClr w14:val="tx1"/>
            </w14:solidFill>
          </w14:textFill>
        </w:rPr>
        <w:t>综合</w:t>
      </w:r>
      <w:r>
        <w:rPr>
          <w:rFonts w:hint="eastAsia"/>
          <w:color w:val="000000" w:themeColor="text1"/>
          <w:highlight w:val="none"/>
          <w:lang w:val="en-US" w:eastAsia="zh-CN"/>
          <w14:textFill>
            <w14:solidFill>
              <w14:schemeClr w14:val="tx1"/>
            </w14:solidFill>
          </w14:textFill>
        </w:rPr>
        <w:t>绩效</w:t>
      </w:r>
      <w:r>
        <w:rPr>
          <w:rFonts w:hint="default"/>
          <w:color w:val="000000" w:themeColor="text1"/>
          <w:highlight w:val="none"/>
          <w:lang w:val="en-US" w:eastAsia="zh-CN"/>
          <w14:textFill>
            <w14:solidFill>
              <w14:schemeClr w14:val="tx1"/>
            </w14:solidFill>
          </w14:textFill>
        </w:rPr>
        <w:t>考核</w:t>
      </w:r>
      <w:r>
        <w:rPr>
          <w:rFonts w:hint="eastAsia"/>
          <w:color w:val="000000" w:themeColor="text1"/>
          <w:highlight w:val="none"/>
          <w:lang w:val="en-US" w:eastAsia="zh-CN"/>
          <w14:textFill>
            <w14:solidFill>
              <w14:schemeClr w14:val="tx1"/>
            </w14:solidFill>
          </w14:textFill>
        </w:rPr>
        <w:t>的</w:t>
      </w:r>
      <w:r>
        <w:rPr>
          <w:rFonts w:hint="default"/>
          <w:color w:val="000000" w:themeColor="text1"/>
          <w:highlight w:val="none"/>
          <w:lang w:val="en-US" w:eastAsia="zh-CN"/>
          <w14:textFill>
            <w14:solidFill>
              <w14:schemeClr w14:val="tx1"/>
            </w14:solidFill>
          </w14:textFill>
        </w:rPr>
        <w:t>重要参考依据</w:t>
      </w:r>
      <w:r>
        <w:rPr>
          <w:rFonts w:hint="eastAsia"/>
          <w:color w:val="000000" w:themeColor="text1"/>
          <w:highlight w:val="none"/>
          <w:lang w:val="en-US" w:eastAsia="zh-CN"/>
          <w14:textFill>
            <w14:solidFill>
              <w14:schemeClr w14:val="tx1"/>
            </w14:solidFill>
          </w14:textFill>
        </w:rPr>
        <w:t>，并纳入“监督一张网”“激励一张网”的管理范畴。</w:t>
      </w:r>
    </w:p>
    <w:p>
      <w:pPr>
        <w:pStyle w:val="3"/>
        <w:bidi w:val="0"/>
        <w:rPr>
          <w:rFonts w:hint="default"/>
          <w:color w:val="000000" w:themeColor="text1"/>
          <w:highlight w:val="none"/>
          <w:lang w:val="en-US" w:eastAsia="zh-CN"/>
          <w14:textFill>
            <w14:solidFill>
              <w14:schemeClr w14:val="tx1"/>
            </w14:solidFill>
          </w14:textFill>
        </w:rPr>
      </w:pPr>
      <w:r>
        <w:rPr>
          <w:rFonts w:hint="default" w:ascii="Times New Roman" w:hAnsi="Times New Roman" w:eastAsia="楷体_GB2312" w:cs="方正楷体_GB2312"/>
          <w:bCs/>
          <w:color w:val="000000" w:themeColor="text1"/>
          <w:spacing w:val="6"/>
          <w:sz w:val="32"/>
          <w:szCs w:val="40"/>
          <w:highlight w:val="none"/>
          <w:lang w:val="en-US" w:eastAsia="zh-CN" w:bidi="ar-SA"/>
          <w14:textFill>
            <w14:solidFill>
              <w14:schemeClr w14:val="tx1"/>
            </w14:solidFill>
          </w14:textFill>
        </w:rPr>
        <w:t>（三）营造氛围，强化舆论监督。</w:t>
      </w:r>
      <w:r>
        <w:rPr>
          <w:rFonts w:hint="eastAsia"/>
          <w:color w:val="000000" w:themeColor="text1"/>
          <w:highlight w:val="none"/>
          <w:lang w:val="en-US" w:eastAsia="zh-CN"/>
          <w14:textFill>
            <w14:solidFill>
              <w14:schemeClr w14:val="tx1"/>
            </w14:solidFill>
          </w14:textFill>
        </w:rPr>
        <w:t>深化“营商新高地赢在自贸港”主题宣传，聚焦封关运作新规则、“有效市场+有为政府”实践、法治信用建设、惠企政策落地等核心方向，创新案例解读、图文视频等宣传形式，推动政策直达快享、成效广泛传播。注重宣传素材的精准挖掘和内容的精品化打造，提升宣传的感染力和影响力，助力海口营商环境品牌塑造。</w:t>
      </w:r>
      <w:r>
        <w:rPr>
          <w:rFonts w:hint="default"/>
          <w:color w:val="000000" w:themeColor="text1"/>
          <w:highlight w:val="none"/>
          <w:lang w:val="en-US" w:eastAsia="zh-CN"/>
          <w14:textFill>
            <w14:solidFill>
              <w14:schemeClr w14:val="tx1"/>
            </w14:solidFill>
          </w14:textFill>
        </w:rPr>
        <w:t>拓宽企业和群众意见反映渠道，及时回应解决社会关注的热点、难点问题，优化企业营商环境，促使各项惠企便民举措</w:t>
      </w:r>
      <w:r>
        <w:rPr>
          <w:rFonts w:hint="eastAsia"/>
          <w:color w:val="000000" w:themeColor="text1"/>
          <w:highlight w:val="none"/>
          <w:lang w:val="en-US"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接地气、见实效</w:t>
      </w:r>
      <w:r>
        <w:rPr>
          <w:rFonts w:hint="eastAsia"/>
          <w:color w:val="000000" w:themeColor="text1"/>
          <w:highlight w:val="none"/>
          <w:lang w:val="en-US"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，以稳定实效的惠企政策落实赢得企业的好口碑，以精准主动的助企惠企行动提升企业满意度。</w:t>
      </w:r>
    </w:p>
    <w:p>
      <w:pPr>
        <w:pStyle w:val="3"/>
        <w:rPr>
          <w:rFonts w:hint="default" w:ascii="仿宋_GB2312" w:hAnsi="仿宋_GB2312" w:eastAsia="仿宋_GB2312" w:cs="Times New Roman"/>
          <w:bCs w:val="0"/>
          <w:color w:val="000000" w:themeColor="text1"/>
          <w:spacing w:val="6"/>
          <w:sz w:val="32"/>
          <w:szCs w:val="32"/>
          <w:highlight w:val="none"/>
          <w:lang w:val="en-US" w:eastAsia="zh-CN" w:bidi="ar-SA"/>
          <w14:textFill>
            <w14:solidFill>
              <w14:schemeClr w14:val="tx1"/>
            </w14:solidFill>
          </w14:textFill>
        </w:rPr>
      </w:pPr>
      <w:r>
        <w:rPr>
          <w:rFonts w:hint="default" w:ascii="Times New Roman" w:hAnsi="Times New Roman" w:eastAsia="楷体_GB2312" w:cs="方正楷体_GB2312"/>
          <w:bCs/>
          <w:color w:val="000000" w:themeColor="text1"/>
          <w:spacing w:val="6"/>
          <w:sz w:val="32"/>
          <w:szCs w:val="40"/>
          <w:highlight w:val="none"/>
          <w:lang w:val="en-US" w:eastAsia="zh-CN" w:bidi="ar-SA"/>
          <w14:textFill>
            <w14:solidFill>
              <w14:schemeClr w14:val="tx1"/>
            </w14:solidFill>
          </w14:textFill>
        </w:rPr>
        <w:t>（四）总结经验，固化工作成效。</w:t>
      </w:r>
      <w:r>
        <w:rPr>
          <w:rFonts w:hint="default"/>
          <w:color w:val="000000" w:themeColor="text1"/>
          <w:highlight w:val="none"/>
          <w:lang w:val="en-US" w:eastAsia="zh-CN"/>
          <w14:textFill>
            <w14:solidFill>
              <w14:schemeClr w14:val="tx1"/>
            </w14:solidFill>
          </w14:textFill>
        </w:rPr>
        <w:t>各单位要善于总结服务企业过程中的不足，强化涉企政策的宣传解读，把握好政策实施的时效度，发挥一揽子增量政策的叠加效应。创新服务企业工作方式方法，解决企业实际困难，助力企业发展壮大，在优化营商环境任务逐项有序推进落实的同时，善于提炼工作亮点，固化工作成效，形成典型案例，每个季度向市委财经营商委优化营商环境专项工作办公室报送工作落实情况及营商环境典型案例，同时配合市委财经营商委优化营商环境专项工作办公室做好国家发改委、海南自贸港营商环境监测指标数据采集以及年度海南民企评营商环境等迎评工作，全力</w:t>
      </w:r>
      <w:r>
        <w:rPr>
          <w:rFonts w:hint="eastAsia"/>
          <w:color w:val="000000" w:themeColor="text1"/>
          <w:highlight w:val="none"/>
          <w:lang w:val="en-US" w:eastAsia="zh-CN"/>
          <w14:textFill>
            <w14:solidFill>
              <w14:schemeClr w14:val="tx1"/>
            </w14:solidFill>
          </w14:textFill>
        </w:rPr>
        <w:t>推动</w:t>
      </w:r>
      <w:r>
        <w:rPr>
          <w:rFonts w:hint="default"/>
          <w:color w:val="000000" w:themeColor="text1"/>
          <w:highlight w:val="none"/>
          <w:lang w:val="en-US" w:eastAsia="zh-CN"/>
          <w14:textFill>
            <w14:solidFill>
              <w14:schemeClr w14:val="tx1"/>
            </w14:solidFill>
          </w14:textFill>
        </w:rPr>
        <w:t>营商环境</w:t>
      </w:r>
      <w:r>
        <w:rPr>
          <w:rFonts w:hint="eastAsia"/>
          <w:color w:val="000000" w:themeColor="text1"/>
          <w:highlight w:val="none"/>
          <w:lang w:val="en-US" w:eastAsia="zh-CN"/>
          <w14:textFill>
            <w14:solidFill>
              <w14:schemeClr w14:val="tx1"/>
            </w14:solidFill>
          </w14:textFill>
        </w:rPr>
        <w:t>更加优化</w:t>
      </w:r>
      <w:r>
        <w:rPr>
          <w:rFonts w:hint="default"/>
          <w:color w:val="000000" w:themeColor="text1"/>
          <w:highlight w:val="none"/>
          <w:lang w:val="en-US" w:eastAsia="zh-CN"/>
          <w14:textFill>
            <w14:solidFill>
              <w14:schemeClr w14:val="tx1"/>
            </w14:solidFill>
          </w14:textFill>
        </w:rPr>
        <w:t>，为海口打造</w:t>
      </w:r>
      <w:r>
        <w:rPr>
          <w:rFonts w:hint="eastAsia"/>
          <w:color w:val="000000" w:themeColor="text1"/>
          <w:highlight w:val="none"/>
          <w:lang w:val="en-US"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六个之城</w:t>
      </w:r>
      <w:r>
        <w:rPr>
          <w:rFonts w:hint="eastAsia"/>
          <w:color w:val="000000" w:themeColor="text1"/>
          <w:highlight w:val="none"/>
          <w:lang w:val="en-US" w:eastAsia="zh-CN"/>
          <w14:textFill>
            <w14:solidFill>
              <w14:schemeClr w14:val="tx1"/>
            </w14:solidFill>
          </w14:textFill>
        </w:rPr>
        <w:t>”</w:t>
      </w:r>
      <w:r>
        <w:rPr>
          <w:rFonts w:hint="default"/>
          <w:color w:val="000000" w:themeColor="text1"/>
          <w:highlight w:val="none"/>
          <w:lang w:val="en-US" w:eastAsia="zh-CN"/>
          <w14:textFill>
            <w14:solidFill>
              <w14:schemeClr w14:val="tx1"/>
            </w14:solidFill>
          </w14:textFill>
        </w:rPr>
        <w:t>和加快建设海南自由贸易港核心引领区提供更有力支撑。</w:t>
      </w:r>
    </w:p>
    <w:sectPr>
      <w:footerReference r:id="rId3" w:type="default"/>
      <w:pgSz w:w="11906" w:h="16838"/>
      <w:pgMar w:top="2098" w:right="1474" w:bottom="1984" w:left="1587" w:header="851" w:footer="992" w:gutter="0"/>
      <w:pgNumType w:fmt="numberInDash"/>
      <w:cols w:space="0" w:num="1"/>
      <w:rtlGutter w:val="0"/>
      <w:docGrid w:type="lines" w:linePitch="32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7A"/>
    <w:family w:val="auto"/>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楷体_GB2312">
    <w:altName w:val="楷体"/>
    <w:panose1 w:val="02010609030101010101"/>
    <w:charset w:val="86"/>
    <w:family w:val="modern"/>
    <w:pitch w:val="default"/>
    <w:sig w:usb0="00000000" w:usb1="00000000" w:usb2="00000000" w:usb3="00000000" w:csb0="00040000" w:csb1="00000000"/>
  </w:font>
  <w:font w:name="等线">
    <w:altName w:val="汉仪中圆B5"/>
    <w:panose1 w:val="02010600030101010101"/>
    <w:charset w:val="86"/>
    <w:family w:val="auto"/>
    <w:pitch w:val="default"/>
    <w:sig w:usb0="00000000" w:usb1="00000000"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黑体_GBK">
    <w:panose1 w:val="02000000000000000000"/>
    <w:charset w:val="86"/>
    <w:family w:val="auto"/>
    <w:pitch w:val="default"/>
    <w:sig w:usb0="00000001" w:usb1="08000000" w:usb2="00000000" w:usb3="00000000" w:csb0="00040000" w:csb1="00000000"/>
  </w:font>
  <w:font w:name="方正楷体_GB2312">
    <w:altName w:val="楷体"/>
    <w:panose1 w:val="02000000000000000000"/>
    <w:charset w:val="86"/>
    <w:family w:val="auto"/>
    <w:pitch w:val="default"/>
    <w:sig w:usb0="00000000" w:usb1="00000000" w:usb2="00000012"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楷体">
    <w:panose1 w:val="02010609060101010101"/>
    <w:charset w:val="86"/>
    <w:family w:val="auto"/>
    <w:pitch w:val="default"/>
    <w:sig w:usb0="800002BF" w:usb1="38CF7CFA" w:usb2="00000016" w:usb3="00000000" w:csb0="00040001" w:csb1="00000000"/>
  </w:font>
  <w:font w:name="Nimbus Roman No9 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9"/>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61"/>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EE939D"/>
    <w:rsid w:val="0000042B"/>
    <w:rsid w:val="000038B9"/>
    <w:rsid w:val="00015120"/>
    <w:rsid w:val="00020B4E"/>
    <w:rsid w:val="0002605A"/>
    <w:rsid w:val="00027965"/>
    <w:rsid w:val="00032493"/>
    <w:rsid w:val="0003611F"/>
    <w:rsid w:val="000423F7"/>
    <w:rsid w:val="00045F3D"/>
    <w:rsid w:val="000739B1"/>
    <w:rsid w:val="000818CE"/>
    <w:rsid w:val="000852E2"/>
    <w:rsid w:val="000B20B1"/>
    <w:rsid w:val="000C16E7"/>
    <w:rsid w:val="000C363D"/>
    <w:rsid w:val="000C513D"/>
    <w:rsid w:val="000C6ADE"/>
    <w:rsid w:val="000D3C90"/>
    <w:rsid w:val="000D692D"/>
    <w:rsid w:val="000D7216"/>
    <w:rsid w:val="000E79E1"/>
    <w:rsid w:val="000E7C45"/>
    <w:rsid w:val="00115C0D"/>
    <w:rsid w:val="00116F2A"/>
    <w:rsid w:val="001403FC"/>
    <w:rsid w:val="00161360"/>
    <w:rsid w:val="00163AB7"/>
    <w:rsid w:val="0016554F"/>
    <w:rsid w:val="00193D91"/>
    <w:rsid w:val="00193E92"/>
    <w:rsid w:val="001A5A23"/>
    <w:rsid w:val="001A7189"/>
    <w:rsid w:val="001C41AE"/>
    <w:rsid w:val="001C79AC"/>
    <w:rsid w:val="001E527C"/>
    <w:rsid w:val="001E6E55"/>
    <w:rsid w:val="001E7F48"/>
    <w:rsid w:val="001F5F69"/>
    <w:rsid w:val="001F7CC6"/>
    <w:rsid w:val="001F7D2D"/>
    <w:rsid w:val="001F7ED6"/>
    <w:rsid w:val="00202DDF"/>
    <w:rsid w:val="002177A9"/>
    <w:rsid w:val="00217857"/>
    <w:rsid w:val="00222570"/>
    <w:rsid w:val="00227EE8"/>
    <w:rsid w:val="002318D9"/>
    <w:rsid w:val="002438C5"/>
    <w:rsid w:val="0026116E"/>
    <w:rsid w:val="00263214"/>
    <w:rsid w:val="002779D3"/>
    <w:rsid w:val="00282BFD"/>
    <w:rsid w:val="002B5AB4"/>
    <w:rsid w:val="002D0550"/>
    <w:rsid w:val="002D1669"/>
    <w:rsid w:val="002D7234"/>
    <w:rsid w:val="002E1E6E"/>
    <w:rsid w:val="002F1401"/>
    <w:rsid w:val="002F5AAF"/>
    <w:rsid w:val="00305F52"/>
    <w:rsid w:val="00310CEF"/>
    <w:rsid w:val="003130E6"/>
    <w:rsid w:val="00320D32"/>
    <w:rsid w:val="00330E05"/>
    <w:rsid w:val="00370102"/>
    <w:rsid w:val="00380F65"/>
    <w:rsid w:val="00386AC7"/>
    <w:rsid w:val="00393F5A"/>
    <w:rsid w:val="003C049A"/>
    <w:rsid w:val="003C59E4"/>
    <w:rsid w:val="003D4C43"/>
    <w:rsid w:val="003E59C7"/>
    <w:rsid w:val="003E633B"/>
    <w:rsid w:val="00406742"/>
    <w:rsid w:val="004105CE"/>
    <w:rsid w:val="00412DD7"/>
    <w:rsid w:val="0043336F"/>
    <w:rsid w:val="004361DF"/>
    <w:rsid w:val="00441B99"/>
    <w:rsid w:val="0045011F"/>
    <w:rsid w:val="004511FA"/>
    <w:rsid w:val="0045779B"/>
    <w:rsid w:val="00476D04"/>
    <w:rsid w:val="00481D3B"/>
    <w:rsid w:val="004832E4"/>
    <w:rsid w:val="0048716F"/>
    <w:rsid w:val="0048774A"/>
    <w:rsid w:val="004921CD"/>
    <w:rsid w:val="0049599F"/>
    <w:rsid w:val="004A5767"/>
    <w:rsid w:val="004B2BE4"/>
    <w:rsid w:val="004B6F08"/>
    <w:rsid w:val="004C5258"/>
    <w:rsid w:val="004D5EF4"/>
    <w:rsid w:val="004D7D20"/>
    <w:rsid w:val="004E3C36"/>
    <w:rsid w:val="004E4A8F"/>
    <w:rsid w:val="00512BFE"/>
    <w:rsid w:val="005148AD"/>
    <w:rsid w:val="00515980"/>
    <w:rsid w:val="00531657"/>
    <w:rsid w:val="005326A9"/>
    <w:rsid w:val="00551505"/>
    <w:rsid w:val="00551F49"/>
    <w:rsid w:val="00561BEE"/>
    <w:rsid w:val="00567D96"/>
    <w:rsid w:val="00577339"/>
    <w:rsid w:val="005913F0"/>
    <w:rsid w:val="005A6035"/>
    <w:rsid w:val="005B47AD"/>
    <w:rsid w:val="005C21AB"/>
    <w:rsid w:val="005C6500"/>
    <w:rsid w:val="005D56C0"/>
    <w:rsid w:val="005F1F86"/>
    <w:rsid w:val="00602EEE"/>
    <w:rsid w:val="00612199"/>
    <w:rsid w:val="00614156"/>
    <w:rsid w:val="00645C3A"/>
    <w:rsid w:val="00647896"/>
    <w:rsid w:val="00654B48"/>
    <w:rsid w:val="006562B7"/>
    <w:rsid w:val="00656E49"/>
    <w:rsid w:val="00656E4B"/>
    <w:rsid w:val="0066563F"/>
    <w:rsid w:val="006669BA"/>
    <w:rsid w:val="00682D8A"/>
    <w:rsid w:val="0068650E"/>
    <w:rsid w:val="006B593C"/>
    <w:rsid w:val="006C4916"/>
    <w:rsid w:val="006C4D12"/>
    <w:rsid w:val="006E4433"/>
    <w:rsid w:val="006E54F5"/>
    <w:rsid w:val="006F64B5"/>
    <w:rsid w:val="00713ADB"/>
    <w:rsid w:val="00724DBD"/>
    <w:rsid w:val="0072668E"/>
    <w:rsid w:val="00727E6E"/>
    <w:rsid w:val="0073644C"/>
    <w:rsid w:val="0074132E"/>
    <w:rsid w:val="0074184E"/>
    <w:rsid w:val="00744017"/>
    <w:rsid w:val="0075064A"/>
    <w:rsid w:val="007767D3"/>
    <w:rsid w:val="00787E40"/>
    <w:rsid w:val="007A1DBA"/>
    <w:rsid w:val="007A3B30"/>
    <w:rsid w:val="007D74E7"/>
    <w:rsid w:val="007F624E"/>
    <w:rsid w:val="00830B72"/>
    <w:rsid w:val="0083424B"/>
    <w:rsid w:val="008345D8"/>
    <w:rsid w:val="00840B6B"/>
    <w:rsid w:val="008442B2"/>
    <w:rsid w:val="008538D8"/>
    <w:rsid w:val="008554D0"/>
    <w:rsid w:val="0086468D"/>
    <w:rsid w:val="00876063"/>
    <w:rsid w:val="00893BA4"/>
    <w:rsid w:val="008B1174"/>
    <w:rsid w:val="008B5584"/>
    <w:rsid w:val="008B684F"/>
    <w:rsid w:val="008D409B"/>
    <w:rsid w:val="008D6B1C"/>
    <w:rsid w:val="008F7CE2"/>
    <w:rsid w:val="00904237"/>
    <w:rsid w:val="00925883"/>
    <w:rsid w:val="009373F8"/>
    <w:rsid w:val="009439BD"/>
    <w:rsid w:val="00947CC7"/>
    <w:rsid w:val="00950D8A"/>
    <w:rsid w:val="00955154"/>
    <w:rsid w:val="00962C8D"/>
    <w:rsid w:val="00971621"/>
    <w:rsid w:val="009804CB"/>
    <w:rsid w:val="009B3B9E"/>
    <w:rsid w:val="009B71D3"/>
    <w:rsid w:val="009C399A"/>
    <w:rsid w:val="009D3773"/>
    <w:rsid w:val="009D6092"/>
    <w:rsid w:val="009D7D14"/>
    <w:rsid w:val="009E78E8"/>
    <w:rsid w:val="00A04F3B"/>
    <w:rsid w:val="00A1575E"/>
    <w:rsid w:val="00A45084"/>
    <w:rsid w:val="00A45F53"/>
    <w:rsid w:val="00A60EB1"/>
    <w:rsid w:val="00A6301A"/>
    <w:rsid w:val="00A65572"/>
    <w:rsid w:val="00A80813"/>
    <w:rsid w:val="00A83FBE"/>
    <w:rsid w:val="00A946BA"/>
    <w:rsid w:val="00A96F48"/>
    <w:rsid w:val="00AA7C15"/>
    <w:rsid w:val="00AB0ECE"/>
    <w:rsid w:val="00AC2B75"/>
    <w:rsid w:val="00AD7D97"/>
    <w:rsid w:val="00AE2130"/>
    <w:rsid w:val="00AE4960"/>
    <w:rsid w:val="00AF02CA"/>
    <w:rsid w:val="00AF03D4"/>
    <w:rsid w:val="00AF6FFC"/>
    <w:rsid w:val="00B04213"/>
    <w:rsid w:val="00B060D0"/>
    <w:rsid w:val="00B111E5"/>
    <w:rsid w:val="00B144E8"/>
    <w:rsid w:val="00B16E0A"/>
    <w:rsid w:val="00B218AB"/>
    <w:rsid w:val="00B2376B"/>
    <w:rsid w:val="00B25690"/>
    <w:rsid w:val="00B37A0B"/>
    <w:rsid w:val="00B919D9"/>
    <w:rsid w:val="00B9323A"/>
    <w:rsid w:val="00BA1470"/>
    <w:rsid w:val="00BA1AC5"/>
    <w:rsid w:val="00BB5D83"/>
    <w:rsid w:val="00C03D75"/>
    <w:rsid w:val="00C25860"/>
    <w:rsid w:val="00C27D99"/>
    <w:rsid w:val="00C31E25"/>
    <w:rsid w:val="00C3256C"/>
    <w:rsid w:val="00C32738"/>
    <w:rsid w:val="00C33A31"/>
    <w:rsid w:val="00C54690"/>
    <w:rsid w:val="00C60F41"/>
    <w:rsid w:val="00C825B8"/>
    <w:rsid w:val="00C90348"/>
    <w:rsid w:val="00CA2AB8"/>
    <w:rsid w:val="00CA33A3"/>
    <w:rsid w:val="00CB76D9"/>
    <w:rsid w:val="00CC1B0B"/>
    <w:rsid w:val="00CD7402"/>
    <w:rsid w:val="00CE00FA"/>
    <w:rsid w:val="00CE19EC"/>
    <w:rsid w:val="00D05A2C"/>
    <w:rsid w:val="00D11265"/>
    <w:rsid w:val="00D1163A"/>
    <w:rsid w:val="00D22BD8"/>
    <w:rsid w:val="00D305C3"/>
    <w:rsid w:val="00D371BE"/>
    <w:rsid w:val="00D40CAE"/>
    <w:rsid w:val="00D420C2"/>
    <w:rsid w:val="00D45D3B"/>
    <w:rsid w:val="00D47E4A"/>
    <w:rsid w:val="00D532A9"/>
    <w:rsid w:val="00D7271F"/>
    <w:rsid w:val="00D849C8"/>
    <w:rsid w:val="00D936F9"/>
    <w:rsid w:val="00D94B69"/>
    <w:rsid w:val="00DB3FDD"/>
    <w:rsid w:val="00DC1201"/>
    <w:rsid w:val="00DC60D6"/>
    <w:rsid w:val="00DD0A31"/>
    <w:rsid w:val="00DE67F5"/>
    <w:rsid w:val="00DF3294"/>
    <w:rsid w:val="00DF5113"/>
    <w:rsid w:val="00E01F94"/>
    <w:rsid w:val="00E03641"/>
    <w:rsid w:val="00E33958"/>
    <w:rsid w:val="00E34B6D"/>
    <w:rsid w:val="00E63401"/>
    <w:rsid w:val="00E73F36"/>
    <w:rsid w:val="00E74DE3"/>
    <w:rsid w:val="00E85C49"/>
    <w:rsid w:val="00E90A9C"/>
    <w:rsid w:val="00E944C2"/>
    <w:rsid w:val="00EA0B45"/>
    <w:rsid w:val="00EA3EED"/>
    <w:rsid w:val="00EA4DE6"/>
    <w:rsid w:val="00EA5535"/>
    <w:rsid w:val="00EA7B66"/>
    <w:rsid w:val="00EB4C85"/>
    <w:rsid w:val="00EC1DDE"/>
    <w:rsid w:val="00EC25E6"/>
    <w:rsid w:val="00ED26DB"/>
    <w:rsid w:val="00ED394D"/>
    <w:rsid w:val="00F2675F"/>
    <w:rsid w:val="00F26F1C"/>
    <w:rsid w:val="00F3093B"/>
    <w:rsid w:val="00F40BEC"/>
    <w:rsid w:val="00F40E84"/>
    <w:rsid w:val="00F43864"/>
    <w:rsid w:val="00F45176"/>
    <w:rsid w:val="00F519C3"/>
    <w:rsid w:val="00F609B5"/>
    <w:rsid w:val="00F651AA"/>
    <w:rsid w:val="00F76356"/>
    <w:rsid w:val="00F90D9A"/>
    <w:rsid w:val="00F94CB5"/>
    <w:rsid w:val="00FB680A"/>
    <w:rsid w:val="00FC5885"/>
    <w:rsid w:val="00FC7F9F"/>
    <w:rsid w:val="00FD2163"/>
    <w:rsid w:val="00FD2660"/>
    <w:rsid w:val="00FD52FA"/>
    <w:rsid w:val="00FE33D1"/>
    <w:rsid w:val="00FE3467"/>
    <w:rsid w:val="02225B04"/>
    <w:rsid w:val="0271490A"/>
    <w:rsid w:val="02C82467"/>
    <w:rsid w:val="02C96727"/>
    <w:rsid w:val="031E2EBF"/>
    <w:rsid w:val="04553FA0"/>
    <w:rsid w:val="09A62DDF"/>
    <w:rsid w:val="09BD1464"/>
    <w:rsid w:val="0A6771F4"/>
    <w:rsid w:val="0AB2084E"/>
    <w:rsid w:val="0B5F1A42"/>
    <w:rsid w:val="0DF72C0A"/>
    <w:rsid w:val="0E4D5CB6"/>
    <w:rsid w:val="0E8C36A7"/>
    <w:rsid w:val="0FDFCF86"/>
    <w:rsid w:val="10090E5D"/>
    <w:rsid w:val="102A0A85"/>
    <w:rsid w:val="10C826AD"/>
    <w:rsid w:val="10E30B54"/>
    <w:rsid w:val="134D3E77"/>
    <w:rsid w:val="165B2E3B"/>
    <w:rsid w:val="169F7C32"/>
    <w:rsid w:val="16BCEDBE"/>
    <w:rsid w:val="16FDB998"/>
    <w:rsid w:val="17285E8F"/>
    <w:rsid w:val="179B661A"/>
    <w:rsid w:val="18A56B06"/>
    <w:rsid w:val="18B057C0"/>
    <w:rsid w:val="190EEC84"/>
    <w:rsid w:val="19EC09C8"/>
    <w:rsid w:val="1AF716C2"/>
    <w:rsid w:val="1B7A82B7"/>
    <w:rsid w:val="1B9AB108"/>
    <w:rsid w:val="1C151176"/>
    <w:rsid w:val="1D5FCC78"/>
    <w:rsid w:val="1D7F9BDD"/>
    <w:rsid w:val="1E3FD6A5"/>
    <w:rsid w:val="1E40683E"/>
    <w:rsid w:val="1E4863BF"/>
    <w:rsid w:val="1E4F1732"/>
    <w:rsid w:val="1F567C80"/>
    <w:rsid w:val="1FCBC041"/>
    <w:rsid w:val="1FDF59B1"/>
    <w:rsid w:val="1FF50EEA"/>
    <w:rsid w:val="1FF6FBBE"/>
    <w:rsid w:val="1FFD205C"/>
    <w:rsid w:val="1FFF59C5"/>
    <w:rsid w:val="20045E15"/>
    <w:rsid w:val="213439F5"/>
    <w:rsid w:val="22FE6DF7"/>
    <w:rsid w:val="23273FE1"/>
    <w:rsid w:val="2333582E"/>
    <w:rsid w:val="233C3030"/>
    <w:rsid w:val="23BE6F18"/>
    <w:rsid w:val="240219DA"/>
    <w:rsid w:val="240B5CB0"/>
    <w:rsid w:val="253FECB8"/>
    <w:rsid w:val="256604EB"/>
    <w:rsid w:val="273E0BA4"/>
    <w:rsid w:val="29E8250D"/>
    <w:rsid w:val="2ABABFC5"/>
    <w:rsid w:val="2BDBA9CC"/>
    <w:rsid w:val="2D6D4AB6"/>
    <w:rsid w:val="2D7FB50B"/>
    <w:rsid w:val="2DE511BC"/>
    <w:rsid w:val="2DF4CC55"/>
    <w:rsid w:val="2EEF5487"/>
    <w:rsid w:val="2EFECC86"/>
    <w:rsid w:val="2F5F539E"/>
    <w:rsid w:val="2F6FC96F"/>
    <w:rsid w:val="2F7D5844"/>
    <w:rsid w:val="2FAFEEE9"/>
    <w:rsid w:val="2FEFFF9E"/>
    <w:rsid w:val="2FFD099D"/>
    <w:rsid w:val="2FFD1832"/>
    <w:rsid w:val="2FFF3E91"/>
    <w:rsid w:val="2FFF56D1"/>
    <w:rsid w:val="2FFFD649"/>
    <w:rsid w:val="2FFFF980"/>
    <w:rsid w:val="313613EE"/>
    <w:rsid w:val="31DA7E26"/>
    <w:rsid w:val="31E6ABF9"/>
    <w:rsid w:val="31FF1206"/>
    <w:rsid w:val="31FF6AB0"/>
    <w:rsid w:val="322E34F2"/>
    <w:rsid w:val="33460DA3"/>
    <w:rsid w:val="33BF76D3"/>
    <w:rsid w:val="34547C42"/>
    <w:rsid w:val="34F7DEE2"/>
    <w:rsid w:val="36225AE8"/>
    <w:rsid w:val="36878EEB"/>
    <w:rsid w:val="368D60CD"/>
    <w:rsid w:val="375C7DA0"/>
    <w:rsid w:val="379167D1"/>
    <w:rsid w:val="37B530E5"/>
    <w:rsid w:val="37BD8D1D"/>
    <w:rsid w:val="37DE299E"/>
    <w:rsid w:val="37EF5583"/>
    <w:rsid w:val="37F7A7FD"/>
    <w:rsid w:val="37FB4754"/>
    <w:rsid w:val="395B7A27"/>
    <w:rsid w:val="39AE181F"/>
    <w:rsid w:val="39C5A421"/>
    <w:rsid w:val="39F5A558"/>
    <w:rsid w:val="39FB60B6"/>
    <w:rsid w:val="3ADFDB90"/>
    <w:rsid w:val="3AFB2EB0"/>
    <w:rsid w:val="3B7500ED"/>
    <w:rsid w:val="3BBD288C"/>
    <w:rsid w:val="3BDFD42B"/>
    <w:rsid w:val="3BF22A53"/>
    <w:rsid w:val="3BFEC3E5"/>
    <w:rsid w:val="3C9F7D22"/>
    <w:rsid w:val="3CBB681C"/>
    <w:rsid w:val="3CDE498A"/>
    <w:rsid w:val="3D95D2C7"/>
    <w:rsid w:val="3DB50C84"/>
    <w:rsid w:val="3DBF9E52"/>
    <w:rsid w:val="3DDE0193"/>
    <w:rsid w:val="3DEF5642"/>
    <w:rsid w:val="3DEF7D91"/>
    <w:rsid w:val="3DFDEA07"/>
    <w:rsid w:val="3DFFF424"/>
    <w:rsid w:val="3EAF0174"/>
    <w:rsid w:val="3EF53468"/>
    <w:rsid w:val="3EFB5E76"/>
    <w:rsid w:val="3EFDCB73"/>
    <w:rsid w:val="3F283A52"/>
    <w:rsid w:val="3F6DB2AD"/>
    <w:rsid w:val="3F6F1871"/>
    <w:rsid w:val="3F9F613E"/>
    <w:rsid w:val="3F9F64B7"/>
    <w:rsid w:val="3FBDA24A"/>
    <w:rsid w:val="3FBFCD02"/>
    <w:rsid w:val="3FBFDC2C"/>
    <w:rsid w:val="3FD2F2E7"/>
    <w:rsid w:val="3FDB3A92"/>
    <w:rsid w:val="3FDF9599"/>
    <w:rsid w:val="3FEF624D"/>
    <w:rsid w:val="3FEFDA71"/>
    <w:rsid w:val="3FFEE561"/>
    <w:rsid w:val="3FFF051E"/>
    <w:rsid w:val="400064CE"/>
    <w:rsid w:val="40496B78"/>
    <w:rsid w:val="40DD6179"/>
    <w:rsid w:val="42DD5D4F"/>
    <w:rsid w:val="44AE6E8F"/>
    <w:rsid w:val="44C712C0"/>
    <w:rsid w:val="457F41C5"/>
    <w:rsid w:val="46C6427C"/>
    <w:rsid w:val="471B1B5C"/>
    <w:rsid w:val="477FF9B0"/>
    <w:rsid w:val="47BFAD99"/>
    <w:rsid w:val="47F976E5"/>
    <w:rsid w:val="49927B5C"/>
    <w:rsid w:val="4AB2329C"/>
    <w:rsid w:val="4B4C35FC"/>
    <w:rsid w:val="4B5A72D4"/>
    <w:rsid w:val="4BB96E3A"/>
    <w:rsid w:val="4BF38A17"/>
    <w:rsid w:val="4C116B33"/>
    <w:rsid w:val="4C7B6835"/>
    <w:rsid w:val="4CFFCE37"/>
    <w:rsid w:val="4D7CF064"/>
    <w:rsid w:val="4DDFEE66"/>
    <w:rsid w:val="4E41243B"/>
    <w:rsid w:val="4E585B86"/>
    <w:rsid w:val="4EAB30A6"/>
    <w:rsid w:val="4EF86A05"/>
    <w:rsid w:val="4EFB30D4"/>
    <w:rsid w:val="4F1D7510"/>
    <w:rsid w:val="4F2558B8"/>
    <w:rsid w:val="4F7B96F3"/>
    <w:rsid w:val="4F7F7AA4"/>
    <w:rsid w:val="4FB380F9"/>
    <w:rsid w:val="4FB7F519"/>
    <w:rsid w:val="4FCBB419"/>
    <w:rsid w:val="4FDF61EE"/>
    <w:rsid w:val="4FEB4F24"/>
    <w:rsid w:val="4FEE6F9F"/>
    <w:rsid w:val="50BDE4F8"/>
    <w:rsid w:val="50D17457"/>
    <w:rsid w:val="50D40EA8"/>
    <w:rsid w:val="50E125B6"/>
    <w:rsid w:val="517A073C"/>
    <w:rsid w:val="53284421"/>
    <w:rsid w:val="5435659E"/>
    <w:rsid w:val="543B3796"/>
    <w:rsid w:val="54C22E05"/>
    <w:rsid w:val="55BFA9A7"/>
    <w:rsid w:val="5604000F"/>
    <w:rsid w:val="560E50C7"/>
    <w:rsid w:val="56FEA983"/>
    <w:rsid w:val="57D52571"/>
    <w:rsid w:val="57FFB084"/>
    <w:rsid w:val="587358E6"/>
    <w:rsid w:val="5912087C"/>
    <w:rsid w:val="5948416F"/>
    <w:rsid w:val="59AD33B1"/>
    <w:rsid w:val="59F7F898"/>
    <w:rsid w:val="5A4269BF"/>
    <w:rsid w:val="5A495130"/>
    <w:rsid w:val="5B7B9800"/>
    <w:rsid w:val="5B8A0111"/>
    <w:rsid w:val="5BBF4F92"/>
    <w:rsid w:val="5BD78CF3"/>
    <w:rsid w:val="5BDF7A34"/>
    <w:rsid w:val="5C657C3C"/>
    <w:rsid w:val="5C8D79C8"/>
    <w:rsid w:val="5C8F0990"/>
    <w:rsid w:val="5CD12D1F"/>
    <w:rsid w:val="5D33F861"/>
    <w:rsid w:val="5D3F4C1B"/>
    <w:rsid w:val="5D7D4B49"/>
    <w:rsid w:val="5D7E2C33"/>
    <w:rsid w:val="5D7F4B73"/>
    <w:rsid w:val="5DB6A442"/>
    <w:rsid w:val="5DB81F12"/>
    <w:rsid w:val="5DD55CCA"/>
    <w:rsid w:val="5DF43A75"/>
    <w:rsid w:val="5DFB5CA0"/>
    <w:rsid w:val="5DFBADBE"/>
    <w:rsid w:val="5DFF73EC"/>
    <w:rsid w:val="5DFFCE7B"/>
    <w:rsid w:val="5EBF87A6"/>
    <w:rsid w:val="5EEF7730"/>
    <w:rsid w:val="5EF14756"/>
    <w:rsid w:val="5EF51C2D"/>
    <w:rsid w:val="5EFF9E90"/>
    <w:rsid w:val="5F1B192E"/>
    <w:rsid w:val="5F58E001"/>
    <w:rsid w:val="5F5F1A45"/>
    <w:rsid w:val="5F6FF021"/>
    <w:rsid w:val="5F732F6D"/>
    <w:rsid w:val="5F7F3454"/>
    <w:rsid w:val="5F803406"/>
    <w:rsid w:val="5F8FA93E"/>
    <w:rsid w:val="5F9F1447"/>
    <w:rsid w:val="5FA5133C"/>
    <w:rsid w:val="5FAFE9BB"/>
    <w:rsid w:val="5FBF2C42"/>
    <w:rsid w:val="5FDA449D"/>
    <w:rsid w:val="5FDD9699"/>
    <w:rsid w:val="5FDE960C"/>
    <w:rsid w:val="5FE74F87"/>
    <w:rsid w:val="5FEB3035"/>
    <w:rsid w:val="5FEDE651"/>
    <w:rsid w:val="5FEF46B4"/>
    <w:rsid w:val="5FF64A25"/>
    <w:rsid w:val="5FF7C4E5"/>
    <w:rsid w:val="5FFB8198"/>
    <w:rsid w:val="5FFEA006"/>
    <w:rsid w:val="615C694D"/>
    <w:rsid w:val="619D39D4"/>
    <w:rsid w:val="6417D56C"/>
    <w:rsid w:val="649B0B5F"/>
    <w:rsid w:val="64B7356F"/>
    <w:rsid w:val="65DE7E55"/>
    <w:rsid w:val="65FB85DD"/>
    <w:rsid w:val="673E4741"/>
    <w:rsid w:val="67BF3BDE"/>
    <w:rsid w:val="67E33733"/>
    <w:rsid w:val="67E73ABB"/>
    <w:rsid w:val="67EF315A"/>
    <w:rsid w:val="67EFC11D"/>
    <w:rsid w:val="67FBC15F"/>
    <w:rsid w:val="684C792C"/>
    <w:rsid w:val="697C395D"/>
    <w:rsid w:val="69DF0A9A"/>
    <w:rsid w:val="6ACF0918"/>
    <w:rsid w:val="6AF13DBE"/>
    <w:rsid w:val="6B0D18A3"/>
    <w:rsid w:val="6BB21C9B"/>
    <w:rsid w:val="6BBDC043"/>
    <w:rsid w:val="6BBEE57A"/>
    <w:rsid w:val="6BEF9082"/>
    <w:rsid w:val="6BF6FC66"/>
    <w:rsid w:val="6C065149"/>
    <w:rsid w:val="6C506213"/>
    <w:rsid w:val="6CBC13F4"/>
    <w:rsid w:val="6CD3CC90"/>
    <w:rsid w:val="6D5E7DC7"/>
    <w:rsid w:val="6DE2255F"/>
    <w:rsid w:val="6DE510ED"/>
    <w:rsid w:val="6DF78E1E"/>
    <w:rsid w:val="6DF98856"/>
    <w:rsid w:val="6E400C4C"/>
    <w:rsid w:val="6E4F5CB0"/>
    <w:rsid w:val="6E6FEFDA"/>
    <w:rsid w:val="6EBFCC9C"/>
    <w:rsid w:val="6ED5B760"/>
    <w:rsid w:val="6EF21B1B"/>
    <w:rsid w:val="6EF79A16"/>
    <w:rsid w:val="6EF7AC80"/>
    <w:rsid w:val="6F3DB95B"/>
    <w:rsid w:val="6F79447D"/>
    <w:rsid w:val="6FAF66D0"/>
    <w:rsid w:val="6FDEE046"/>
    <w:rsid w:val="6FDFA85A"/>
    <w:rsid w:val="6FE56EF4"/>
    <w:rsid w:val="6FEBFFC7"/>
    <w:rsid w:val="6FFFF22F"/>
    <w:rsid w:val="70AB1C6A"/>
    <w:rsid w:val="714E2A6C"/>
    <w:rsid w:val="717D40C1"/>
    <w:rsid w:val="719B6FFB"/>
    <w:rsid w:val="71F1E2E0"/>
    <w:rsid w:val="71FB952A"/>
    <w:rsid w:val="71FD65D9"/>
    <w:rsid w:val="72613735"/>
    <w:rsid w:val="727E1297"/>
    <w:rsid w:val="72DF40CB"/>
    <w:rsid w:val="72F59583"/>
    <w:rsid w:val="73A56C12"/>
    <w:rsid w:val="73EBB7C7"/>
    <w:rsid w:val="73EC27D8"/>
    <w:rsid w:val="73F5C1BC"/>
    <w:rsid w:val="73FF402A"/>
    <w:rsid w:val="740F0DD7"/>
    <w:rsid w:val="74AF05B5"/>
    <w:rsid w:val="74D9E6EA"/>
    <w:rsid w:val="74EFF639"/>
    <w:rsid w:val="74FF5ACE"/>
    <w:rsid w:val="753F0BD2"/>
    <w:rsid w:val="753F7996"/>
    <w:rsid w:val="75491B1D"/>
    <w:rsid w:val="75BE4695"/>
    <w:rsid w:val="75D65F05"/>
    <w:rsid w:val="75DDF719"/>
    <w:rsid w:val="75EFB4FD"/>
    <w:rsid w:val="75F30359"/>
    <w:rsid w:val="75FE315B"/>
    <w:rsid w:val="763B3DD8"/>
    <w:rsid w:val="768F6008"/>
    <w:rsid w:val="76BFB2C4"/>
    <w:rsid w:val="76DB2B7D"/>
    <w:rsid w:val="76E50367"/>
    <w:rsid w:val="771B700E"/>
    <w:rsid w:val="772DE62F"/>
    <w:rsid w:val="773E04EB"/>
    <w:rsid w:val="775E5A1A"/>
    <w:rsid w:val="77698652"/>
    <w:rsid w:val="776D812A"/>
    <w:rsid w:val="777A43A0"/>
    <w:rsid w:val="777FB3FA"/>
    <w:rsid w:val="7789403A"/>
    <w:rsid w:val="778D71AA"/>
    <w:rsid w:val="77BF37AE"/>
    <w:rsid w:val="77CFBC26"/>
    <w:rsid w:val="77E53A69"/>
    <w:rsid w:val="77EE257C"/>
    <w:rsid w:val="77EF07D8"/>
    <w:rsid w:val="77EFB0E5"/>
    <w:rsid w:val="77F5BED7"/>
    <w:rsid w:val="77FD6069"/>
    <w:rsid w:val="77FDAD83"/>
    <w:rsid w:val="77FFA0B6"/>
    <w:rsid w:val="78202516"/>
    <w:rsid w:val="785030F6"/>
    <w:rsid w:val="78784C61"/>
    <w:rsid w:val="78BE07AB"/>
    <w:rsid w:val="78F5B487"/>
    <w:rsid w:val="78FF722F"/>
    <w:rsid w:val="791C6E0E"/>
    <w:rsid w:val="791FFB27"/>
    <w:rsid w:val="79B7E23D"/>
    <w:rsid w:val="79FFFB42"/>
    <w:rsid w:val="7A43544B"/>
    <w:rsid w:val="7A78FE95"/>
    <w:rsid w:val="7AED86DF"/>
    <w:rsid w:val="7AEFD75D"/>
    <w:rsid w:val="7AF54FE0"/>
    <w:rsid w:val="7AF87918"/>
    <w:rsid w:val="7B7B4528"/>
    <w:rsid w:val="7B7F4479"/>
    <w:rsid w:val="7B7FFFAC"/>
    <w:rsid w:val="7B8BE2C0"/>
    <w:rsid w:val="7BBB30A8"/>
    <w:rsid w:val="7BBF432E"/>
    <w:rsid w:val="7BBF7DB2"/>
    <w:rsid w:val="7BC2E4B2"/>
    <w:rsid w:val="7BCEC709"/>
    <w:rsid w:val="7BDF621D"/>
    <w:rsid w:val="7BE7EECF"/>
    <w:rsid w:val="7BEA5AD7"/>
    <w:rsid w:val="7BEB2DFF"/>
    <w:rsid w:val="7BFB8A00"/>
    <w:rsid w:val="7BFEB7B3"/>
    <w:rsid w:val="7C4F38B3"/>
    <w:rsid w:val="7CD442F6"/>
    <w:rsid w:val="7CFFB7FB"/>
    <w:rsid w:val="7D2BAB61"/>
    <w:rsid w:val="7D3B74C9"/>
    <w:rsid w:val="7D441341"/>
    <w:rsid w:val="7D6E9558"/>
    <w:rsid w:val="7D77C181"/>
    <w:rsid w:val="7D7BCAE5"/>
    <w:rsid w:val="7DBEACB4"/>
    <w:rsid w:val="7DD5B0E0"/>
    <w:rsid w:val="7DDDF304"/>
    <w:rsid w:val="7DE14691"/>
    <w:rsid w:val="7DEFCB6E"/>
    <w:rsid w:val="7DFB1176"/>
    <w:rsid w:val="7DFBB6A3"/>
    <w:rsid w:val="7DFFC007"/>
    <w:rsid w:val="7E19F822"/>
    <w:rsid w:val="7E2DDA2E"/>
    <w:rsid w:val="7E6C0CD4"/>
    <w:rsid w:val="7E72BA14"/>
    <w:rsid w:val="7E740C76"/>
    <w:rsid w:val="7E77ADF0"/>
    <w:rsid w:val="7E7B3627"/>
    <w:rsid w:val="7E7FFC02"/>
    <w:rsid w:val="7E8FFA1F"/>
    <w:rsid w:val="7EBF15E0"/>
    <w:rsid w:val="7ED53093"/>
    <w:rsid w:val="7EDF8335"/>
    <w:rsid w:val="7EDFD2EA"/>
    <w:rsid w:val="7EEE0443"/>
    <w:rsid w:val="7EFB8C36"/>
    <w:rsid w:val="7EFDFFF4"/>
    <w:rsid w:val="7EFEBA7D"/>
    <w:rsid w:val="7F2F1A28"/>
    <w:rsid w:val="7F2F7C29"/>
    <w:rsid w:val="7F62EEDC"/>
    <w:rsid w:val="7F7555A4"/>
    <w:rsid w:val="7F7F8F81"/>
    <w:rsid w:val="7FB3E0B1"/>
    <w:rsid w:val="7FBD11D6"/>
    <w:rsid w:val="7FBF1F9D"/>
    <w:rsid w:val="7FBF3CE0"/>
    <w:rsid w:val="7FBF8FE6"/>
    <w:rsid w:val="7FCD2F4B"/>
    <w:rsid w:val="7FCE2EB5"/>
    <w:rsid w:val="7FD6D3CB"/>
    <w:rsid w:val="7FD77823"/>
    <w:rsid w:val="7FDBF80D"/>
    <w:rsid w:val="7FDF129A"/>
    <w:rsid w:val="7FDF6449"/>
    <w:rsid w:val="7FE719D9"/>
    <w:rsid w:val="7FEBF4C5"/>
    <w:rsid w:val="7FEE939D"/>
    <w:rsid w:val="7FEFC91F"/>
    <w:rsid w:val="7FFAB331"/>
    <w:rsid w:val="7FFB0528"/>
    <w:rsid w:val="7FFB48F4"/>
    <w:rsid w:val="7FFBE332"/>
    <w:rsid w:val="7FFD9054"/>
    <w:rsid w:val="7FFDF5A8"/>
    <w:rsid w:val="7FFE9207"/>
    <w:rsid w:val="7FFE9B7F"/>
    <w:rsid w:val="7FFF4061"/>
    <w:rsid w:val="7FFF49A8"/>
    <w:rsid w:val="7FFFB6A8"/>
    <w:rsid w:val="8516464E"/>
    <w:rsid w:val="8A4476FD"/>
    <w:rsid w:val="8FFFD062"/>
    <w:rsid w:val="93965DD2"/>
    <w:rsid w:val="94E81BE2"/>
    <w:rsid w:val="99FFB0F8"/>
    <w:rsid w:val="9ACF76B6"/>
    <w:rsid w:val="9AFF088B"/>
    <w:rsid w:val="9B3FB493"/>
    <w:rsid w:val="9BDF7AD0"/>
    <w:rsid w:val="9CC9DB41"/>
    <w:rsid w:val="9DCF5BA4"/>
    <w:rsid w:val="9DEFB23A"/>
    <w:rsid w:val="9F3F70E8"/>
    <w:rsid w:val="9F7FBF3E"/>
    <w:rsid w:val="9FAB640A"/>
    <w:rsid w:val="9FF0448D"/>
    <w:rsid w:val="9FF5A9FF"/>
    <w:rsid w:val="9FFD8D3D"/>
    <w:rsid w:val="9FFDBEE8"/>
    <w:rsid w:val="A29F8969"/>
    <w:rsid w:val="A568C1ED"/>
    <w:rsid w:val="A6BAC166"/>
    <w:rsid w:val="A7FF31ED"/>
    <w:rsid w:val="AD6F37E3"/>
    <w:rsid w:val="AE7A3153"/>
    <w:rsid w:val="AFBF3DF7"/>
    <w:rsid w:val="AFF6F6F0"/>
    <w:rsid w:val="B0FDF113"/>
    <w:rsid w:val="B2F3ED70"/>
    <w:rsid w:val="B2FB31C9"/>
    <w:rsid w:val="B36F11E8"/>
    <w:rsid w:val="B3FCED8F"/>
    <w:rsid w:val="B4FB7629"/>
    <w:rsid w:val="B55E6521"/>
    <w:rsid w:val="B57FED32"/>
    <w:rsid w:val="B6761B27"/>
    <w:rsid w:val="B69BF961"/>
    <w:rsid w:val="B6D56F3D"/>
    <w:rsid w:val="B735D2CD"/>
    <w:rsid w:val="B7C3391B"/>
    <w:rsid w:val="B7FD457F"/>
    <w:rsid w:val="B7FF30BB"/>
    <w:rsid w:val="B7FFCEE9"/>
    <w:rsid w:val="B9F5A8D7"/>
    <w:rsid w:val="BB1CE7FA"/>
    <w:rsid w:val="BB1D9A18"/>
    <w:rsid w:val="BB332653"/>
    <w:rsid w:val="BB6B09F4"/>
    <w:rsid w:val="BB9D8959"/>
    <w:rsid w:val="BBE5EB97"/>
    <w:rsid w:val="BBFDDD66"/>
    <w:rsid w:val="BCDF5D21"/>
    <w:rsid w:val="BCFFB015"/>
    <w:rsid w:val="BD16D6B9"/>
    <w:rsid w:val="BDAB27E2"/>
    <w:rsid w:val="BDF38DD0"/>
    <w:rsid w:val="BDF6D814"/>
    <w:rsid w:val="BDFF74A5"/>
    <w:rsid w:val="BE4EECE2"/>
    <w:rsid w:val="BE94D7DD"/>
    <w:rsid w:val="BEBF6CCE"/>
    <w:rsid w:val="BEDFABA5"/>
    <w:rsid w:val="BF4DAD1A"/>
    <w:rsid w:val="BF77A62D"/>
    <w:rsid w:val="BF7A15D4"/>
    <w:rsid w:val="BF7FCF58"/>
    <w:rsid w:val="BF8B91B5"/>
    <w:rsid w:val="BFB7B1EF"/>
    <w:rsid w:val="BFE53D39"/>
    <w:rsid w:val="BFF80B7A"/>
    <w:rsid w:val="BFFB8D8B"/>
    <w:rsid w:val="BFFE9DAB"/>
    <w:rsid w:val="C1777EB3"/>
    <w:rsid w:val="C37FB7BD"/>
    <w:rsid w:val="C5F38979"/>
    <w:rsid w:val="C6FC19EF"/>
    <w:rsid w:val="C7958B08"/>
    <w:rsid w:val="C7BB73D2"/>
    <w:rsid w:val="C7DF004C"/>
    <w:rsid w:val="CAFD657C"/>
    <w:rsid w:val="CB5DEED8"/>
    <w:rsid w:val="CBFB0848"/>
    <w:rsid w:val="CBFF8503"/>
    <w:rsid w:val="CD4F9143"/>
    <w:rsid w:val="CD63BA4A"/>
    <w:rsid w:val="CE961CB0"/>
    <w:rsid w:val="CEA7CCC2"/>
    <w:rsid w:val="CEEBF3F8"/>
    <w:rsid w:val="CEFBBEFA"/>
    <w:rsid w:val="CF7FA454"/>
    <w:rsid w:val="CFE1FA22"/>
    <w:rsid w:val="CFFB4A4F"/>
    <w:rsid w:val="CFFC1073"/>
    <w:rsid w:val="CFFE6524"/>
    <w:rsid w:val="CFFF4148"/>
    <w:rsid w:val="D2E50EA3"/>
    <w:rsid w:val="D37960F1"/>
    <w:rsid w:val="D3DB2659"/>
    <w:rsid w:val="D3F2A618"/>
    <w:rsid w:val="D4789B7F"/>
    <w:rsid w:val="D77F4419"/>
    <w:rsid w:val="D7ABE0FE"/>
    <w:rsid w:val="D7D25F92"/>
    <w:rsid w:val="D7F75BA9"/>
    <w:rsid w:val="D87D777D"/>
    <w:rsid w:val="D972E56F"/>
    <w:rsid w:val="DB7195C4"/>
    <w:rsid w:val="DBDBD55A"/>
    <w:rsid w:val="DBEFF477"/>
    <w:rsid w:val="DBF12AB5"/>
    <w:rsid w:val="DBF334C1"/>
    <w:rsid w:val="DBFF00AA"/>
    <w:rsid w:val="DBFF5DAE"/>
    <w:rsid w:val="DCEE128A"/>
    <w:rsid w:val="DD8FDDE6"/>
    <w:rsid w:val="DD9DBF5D"/>
    <w:rsid w:val="DD9F53D8"/>
    <w:rsid w:val="DDB50C1A"/>
    <w:rsid w:val="DEB72457"/>
    <w:rsid w:val="DEB93EA5"/>
    <w:rsid w:val="DEDD1E79"/>
    <w:rsid w:val="DEE541FC"/>
    <w:rsid w:val="DEE757E8"/>
    <w:rsid w:val="DEEF1390"/>
    <w:rsid w:val="DEF29FC0"/>
    <w:rsid w:val="DEF37002"/>
    <w:rsid w:val="DEF6154B"/>
    <w:rsid w:val="DEFFDD98"/>
    <w:rsid w:val="DF5E0C1E"/>
    <w:rsid w:val="DF7C52DB"/>
    <w:rsid w:val="DF7F27C3"/>
    <w:rsid w:val="DFAB2FE6"/>
    <w:rsid w:val="DFB5941B"/>
    <w:rsid w:val="DFB7C8DA"/>
    <w:rsid w:val="DFBF09A8"/>
    <w:rsid w:val="DFDF882A"/>
    <w:rsid w:val="DFEFDB0A"/>
    <w:rsid w:val="DFF7D6AF"/>
    <w:rsid w:val="DFFBB98B"/>
    <w:rsid w:val="DFFF0653"/>
    <w:rsid w:val="DFFF485D"/>
    <w:rsid w:val="DFFF6B55"/>
    <w:rsid w:val="E53FE4EA"/>
    <w:rsid w:val="E64B2E69"/>
    <w:rsid w:val="E6A78516"/>
    <w:rsid w:val="E6DB4BC8"/>
    <w:rsid w:val="E6FB0380"/>
    <w:rsid w:val="E770F2B2"/>
    <w:rsid w:val="E7789D9C"/>
    <w:rsid w:val="E7E788FE"/>
    <w:rsid w:val="E7EC757D"/>
    <w:rsid w:val="E7FF4739"/>
    <w:rsid w:val="E97F3D73"/>
    <w:rsid w:val="EAEF27DF"/>
    <w:rsid w:val="EAF1B29F"/>
    <w:rsid w:val="EBBB25A4"/>
    <w:rsid w:val="EBBE1018"/>
    <w:rsid w:val="EBFB37E5"/>
    <w:rsid w:val="EBFE8DB9"/>
    <w:rsid w:val="ECFE72B9"/>
    <w:rsid w:val="ED32F1A5"/>
    <w:rsid w:val="ED6FCBBF"/>
    <w:rsid w:val="EE7F2C76"/>
    <w:rsid w:val="EEB95EBF"/>
    <w:rsid w:val="EEBCAFB9"/>
    <w:rsid w:val="EEE6AACF"/>
    <w:rsid w:val="EEF92E93"/>
    <w:rsid w:val="EEFD6185"/>
    <w:rsid w:val="EEFF82CD"/>
    <w:rsid w:val="EEFF8F9F"/>
    <w:rsid w:val="EEFFD73B"/>
    <w:rsid w:val="EEFFFA23"/>
    <w:rsid w:val="EF2F0E9D"/>
    <w:rsid w:val="EF3F358A"/>
    <w:rsid w:val="EF6F48E7"/>
    <w:rsid w:val="EF75484D"/>
    <w:rsid w:val="EF7A0639"/>
    <w:rsid w:val="EF7D2870"/>
    <w:rsid w:val="EF7D74F3"/>
    <w:rsid w:val="EF7DAFD6"/>
    <w:rsid w:val="EF7FA699"/>
    <w:rsid w:val="EFB37124"/>
    <w:rsid w:val="EFB71750"/>
    <w:rsid w:val="EFBA3E03"/>
    <w:rsid w:val="EFBAF9D4"/>
    <w:rsid w:val="EFBBB020"/>
    <w:rsid w:val="EFBF7152"/>
    <w:rsid w:val="EFC5C8EF"/>
    <w:rsid w:val="EFD382DB"/>
    <w:rsid w:val="EFE2260E"/>
    <w:rsid w:val="EFE6C11E"/>
    <w:rsid w:val="EFED8788"/>
    <w:rsid w:val="EFEE4C9D"/>
    <w:rsid w:val="EFF3D2C5"/>
    <w:rsid w:val="EFF5935A"/>
    <w:rsid w:val="EFFDEC92"/>
    <w:rsid w:val="EFFFDF9C"/>
    <w:rsid w:val="F0BFE20B"/>
    <w:rsid w:val="F0FFF148"/>
    <w:rsid w:val="F1A6FA60"/>
    <w:rsid w:val="F1FF0024"/>
    <w:rsid w:val="F22FB4DA"/>
    <w:rsid w:val="F2FA1666"/>
    <w:rsid w:val="F357B437"/>
    <w:rsid w:val="F35F00F0"/>
    <w:rsid w:val="F37DD6A4"/>
    <w:rsid w:val="F3BDB39A"/>
    <w:rsid w:val="F3BF362C"/>
    <w:rsid w:val="F3CF7CF5"/>
    <w:rsid w:val="F3FBC6BD"/>
    <w:rsid w:val="F3FD7523"/>
    <w:rsid w:val="F43B4033"/>
    <w:rsid w:val="F4771409"/>
    <w:rsid w:val="F4DD1BF9"/>
    <w:rsid w:val="F4FFD2C7"/>
    <w:rsid w:val="F5E52669"/>
    <w:rsid w:val="F5EE8A57"/>
    <w:rsid w:val="F5F2BE2E"/>
    <w:rsid w:val="F5F719B3"/>
    <w:rsid w:val="F5F9B099"/>
    <w:rsid w:val="F5FE9AB9"/>
    <w:rsid w:val="F627C80B"/>
    <w:rsid w:val="F68F1A50"/>
    <w:rsid w:val="F6B65BE2"/>
    <w:rsid w:val="F6E78C9F"/>
    <w:rsid w:val="F6FF63FF"/>
    <w:rsid w:val="F72578E0"/>
    <w:rsid w:val="F74C6B5C"/>
    <w:rsid w:val="F75FA43B"/>
    <w:rsid w:val="F76FDA5E"/>
    <w:rsid w:val="F775F336"/>
    <w:rsid w:val="F777159E"/>
    <w:rsid w:val="F7778534"/>
    <w:rsid w:val="F777895F"/>
    <w:rsid w:val="F77DFE0A"/>
    <w:rsid w:val="F79F416E"/>
    <w:rsid w:val="F79FC44D"/>
    <w:rsid w:val="F7BD902B"/>
    <w:rsid w:val="F7DEB94C"/>
    <w:rsid w:val="F7DF114F"/>
    <w:rsid w:val="F7EDC9BB"/>
    <w:rsid w:val="F7EFAA9C"/>
    <w:rsid w:val="F7F5A5B4"/>
    <w:rsid w:val="F7F62BC0"/>
    <w:rsid w:val="F8DAB9C0"/>
    <w:rsid w:val="F8FF848F"/>
    <w:rsid w:val="F93F847C"/>
    <w:rsid w:val="F9AAB451"/>
    <w:rsid w:val="F9D8362D"/>
    <w:rsid w:val="F9FF087E"/>
    <w:rsid w:val="F9FFCF93"/>
    <w:rsid w:val="FA1F8603"/>
    <w:rsid w:val="FAB3A43C"/>
    <w:rsid w:val="FAFB57C4"/>
    <w:rsid w:val="FAFF768C"/>
    <w:rsid w:val="FB3EFB3C"/>
    <w:rsid w:val="FB5702D8"/>
    <w:rsid w:val="FB7D70DE"/>
    <w:rsid w:val="FB9FAB73"/>
    <w:rsid w:val="FBBE41E5"/>
    <w:rsid w:val="FBC79963"/>
    <w:rsid w:val="FBE6CBD9"/>
    <w:rsid w:val="FBEDA8B5"/>
    <w:rsid w:val="FBF39B21"/>
    <w:rsid w:val="FBF8786B"/>
    <w:rsid w:val="FBFDCFC1"/>
    <w:rsid w:val="FCEB506A"/>
    <w:rsid w:val="FD1F32ED"/>
    <w:rsid w:val="FD7F72EA"/>
    <w:rsid w:val="FDDB2C5D"/>
    <w:rsid w:val="FDDE151F"/>
    <w:rsid w:val="FDF5AD7A"/>
    <w:rsid w:val="FDF5E206"/>
    <w:rsid w:val="FDFB3AED"/>
    <w:rsid w:val="FDFFA1C5"/>
    <w:rsid w:val="FE5F728B"/>
    <w:rsid w:val="FE8F3A97"/>
    <w:rsid w:val="FEAAE428"/>
    <w:rsid w:val="FEC4EDAF"/>
    <w:rsid w:val="FECFF36A"/>
    <w:rsid w:val="FEEF3AAF"/>
    <w:rsid w:val="FEFB3661"/>
    <w:rsid w:val="FEFE7BF6"/>
    <w:rsid w:val="FEFF68F6"/>
    <w:rsid w:val="FF1B85CA"/>
    <w:rsid w:val="FF4A9377"/>
    <w:rsid w:val="FF4F92C1"/>
    <w:rsid w:val="FF666F70"/>
    <w:rsid w:val="FF6FB2E9"/>
    <w:rsid w:val="FF7BA8A9"/>
    <w:rsid w:val="FF7E137A"/>
    <w:rsid w:val="FF7F46AF"/>
    <w:rsid w:val="FF8A95D1"/>
    <w:rsid w:val="FFBE7B20"/>
    <w:rsid w:val="FFBF7538"/>
    <w:rsid w:val="FFBFF5AB"/>
    <w:rsid w:val="FFCF5EFF"/>
    <w:rsid w:val="FFD70F98"/>
    <w:rsid w:val="FFDF740B"/>
    <w:rsid w:val="FFDF8487"/>
    <w:rsid w:val="FFDFF6EB"/>
    <w:rsid w:val="FFDFFCA9"/>
    <w:rsid w:val="FFE3F8A1"/>
    <w:rsid w:val="FFEA1794"/>
    <w:rsid w:val="FFEBCD63"/>
    <w:rsid w:val="FFED6C99"/>
    <w:rsid w:val="FFEFFFAC"/>
    <w:rsid w:val="FFF705BE"/>
    <w:rsid w:val="FFF73F09"/>
    <w:rsid w:val="FFF7EF7A"/>
    <w:rsid w:val="FFF96614"/>
    <w:rsid w:val="FFFD09C1"/>
    <w:rsid w:val="FFFD6D7D"/>
    <w:rsid w:val="FFFD8AF8"/>
    <w:rsid w:val="FFFF670B"/>
    <w:rsid w:val="FFFF76AE"/>
    <w:rsid w:val="FFFF7DDC"/>
    <w:rsid w:val="FFFF7E01"/>
    <w:rsid w:val="FFFF81A0"/>
    <w:rsid w:val="FFFFA62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3"/>
    <w:next w:val="3"/>
    <w:link w:val="22"/>
    <w:qFormat/>
    <w:uiPriority w:val="0"/>
    <w:pPr>
      <w:keepNext/>
      <w:keepLines/>
      <w:ind w:firstLine="884" w:firstLineChars="200"/>
      <w:jc w:val="left"/>
      <w:outlineLvl w:val="0"/>
    </w:pPr>
    <w:rPr>
      <w:rFonts w:ascii="黑体" w:hAnsi="黑体" w:eastAsia="黑体" w:cs="黑体"/>
      <w:bCs/>
      <w:szCs w:val="44"/>
    </w:rPr>
  </w:style>
  <w:style w:type="paragraph" w:styleId="4">
    <w:name w:val="heading 2"/>
    <w:basedOn w:val="2"/>
    <w:next w:val="3"/>
    <w:link w:val="23"/>
    <w:qFormat/>
    <w:uiPriority w:val="0"/>
    <w:pPr>
      <w:ind w:firstLine="641"/>
      <w:jc w:val="both"/>
      <w:outlineLvl w:val="1"/>
    </w:pPr>
    <w:rPr>
      <w:rFonts w:ascii="楷体_GB2312" w:hAnsi="楷体_GB2312" w:eastAsia="楷体_GB2312" w:cs="楷体_GB2312"/>
      <w:szCs w:val="40"/>
    </w:rPr>
  </w:style>
  <w:style w:type="paragraph" w:styleId="5">
    <w:name w:val="heading 3"/>
    <w:basedOn w:val="3"/>
    <w:next w:val="3"/>
    <w:link w:val="24"/>
    <w:unhideWhenUsed/>
    <w:qFormat/>
    <w:uiPriority w:val="0"/>
    <w:pPr>
      <w:keepNext/>
      <w:keepLines/>
      <w:spacing w:line="590" w:lineRule="exact"/>
      <w:ind w:firstLine="200"/>
      <w:outlineLvl w:val="2"/>
    </w:pPr>
    <w:rPr>
      <w:rFonts w:eastAsia="楷体_GB2312"/>
      <w:b/>
      <w:bCs/>
    </w:rPr>
  </w:style>
  <w:style w:type="character" w:default="1" w:styleId="17">
    <w:name w:val="Default Paragraph Font"/>
    <w:semiHidden/>
    <w:unhideWhenUsed/>
    <w:qFormat/>
    <w:uiPriority w:val="1"/>
  </w:style>
  <w:style w:type="table" w:default="1" w:styleId="15">
    <w:name w:val="Normal Table"/>
    <w:semiHidden/>
    <w:unhideWhenUsed/>
    <w:qFormat/>
    <w:uiPriority w:val="99"/>
    <w:pPr>
      <w:keepNext w:val="0"/>
      <w:keepLines w:val="0"/>
      <w:widowControl/>
      <w:suppressLineNumbers w:val="0"/>
      <w:spacing w:before="0" w:beforeAutospacing="0" w:after="160" w:afterAutospacing="0" w:line="276" w:lineRule="auto"/>
      <w:ind w:left="0" w:right="0"/>
    </w:pPr>
    <w:rPr>
      <w:rFonts w:hint="eastAsia" w:ascii="等线" w:hAnsi="等线" w:eastAsia="等线" w:cs="等线"/>
      <w:kern w:val="2"/>
      <w:sz w:val="22"/>
      <w:szCs w:val="24"/>
    </w:rPr>
    <w:tblPr>
      <w:tblCellMar>
        <w:top w:w="0" w:type="dxa"/>
        <w:left w:w="108" w:type="dxa"/>
        <w:bottom w:w="0" w:type="dxa"/>
        <w:right w:w="108" w:type="dxa"/>
      </w:tblCellMar>
    </w:tblPr>
  </w:style>
  <w:style w:type="paragraph" w:customStyle="1" w:styleId="3">
    <w:name w:val="方案正文"/>
    <w:link w:val="36"/>
    <w:qFormat/>
    <w:uiPriority w:val="0"/>
    <w:pPr>
      <w:spacing w:line="560" w:lineRule="exact"/>
      <w:ind w:firstLine="677" w:firstLineChars="200"/>
      <w:jc w:val="both"/>
    </w:pPr>
    <w:rPr>
      <w:rFonts w:ascii="仿宋_GB2312" w:hAnsi="仿宋_GB2312" w:eastAsia="仿宋_GB2312" w:cs="Times New Roman"/>
      <w:spacing w:val="6"/>
      <w:sz w:val="32"/>
      <w:szCs w:val="32"/>
      <w:lang w:val="en-US" w:eastAsia="zh-CN" w:bidi="ar-SA"/>
    </w:rPr>
  </w:style>
  <w:style w:type="paragraph" w:styleId="6">
    <w:name w:val="annotation text"/>
    <w:basedOn w:val="1"/>
    <w:link w:val="29"/>
    <w:qFormat/>
    <w:uiPriority w:val="0"/>
    <w:pPr>
      <w:jc w:val="left"/>
    </w:pPr>
  </w:style>
  <w:style w:type="paragraph" w:styleId="7">
    <w:name w:val="toc 3"/>
    <w:basedOn w:val="1"/>
    <w:next w:val="1"/>
    <w:qFormat/>
    <w:uiPriority w:val="0"/>
    <w:pPr>
      <w:ind w:left="420" w:leftChars="200"/>
    </w:pPr>
    <w:rPr>
      <w:rFonts w:ascii="Times New Roman" w:hAnsi="Times New Roman" w:eastAsia="楷体_GB2312"/>
      <w:sz w:val="24"/>
    </w:rPr>
  </w:style>
  <w:style w:type="paragraph" w:styleId="8">
    <w:name w:val="Plain Text"/>
    <w:basedOn w:val="1"/>
    <w:qFormat/>
    <w:uiPriority w:val="0"/>
    <w:rPr>
      <w:rFonts w:hint="eastAsia" w:ascii="宋体" w:hAnsi="Courier New" w:eastAsia="宋体" w:cs="Times New Roman"/>
      <w:szCs w:val="21"/>
    </w:rPr>
  </w:style>
  <w:style w:type="paragraph" w:styleId="9">
    <w:name w:val="footer"/>
    <w:basedOn w:val="1"/>
    <w:link w:val="28"/>
    <w:qFormat/>
    <w:uiPriority w:val="99"/>
    <w:pPr>
      <w:tabs>
        <w:tab w:val="center" w:pos="4153"/>
        <w:tab w:val="right" w:pos="8306"/>
      </w:tabs>
      <w:snapToGrid w:val="0"/>
      <w:jc w:val="left"/>
    </w:pPr>
    <w:rPr>
      <w:rFonts w:ascii="Times New Roman" w:hAnsi="Times New Roman"/>
      <w:sz w:val="18"/>
      <w:szCs w:val="18"/>
    </w:rPr>
  </w:style>
  <w:style w:type="paragraph" w:styleId="10">
    <w:name w:val="header"/>
    <w:basedOn w:val="1"/>
    <w:link w:val="27"/>
    <w:qFormat/>
    <w:uiPriority w:val="0"/>
    <w:pPr>
      <w:tabs>
        <w:tab w:val="center" w:pos="4153"/>
        <w:tab w:val="right" w:pos="8306"/>
      </w:tabs>
      <w:snapToGrid w:val="0"/>
      <w:jc w:val="center"/>
    </w:pPr>
    <w:rPr>
      <w:sz w:val="18"/>
      <w:szCs w:val="18"/>
    </w:rPr>
  </w:style>
  <w:style w:type="paragraph" w:styleId="11">
    <w:name w:val="toc 1"/>
    <w:basedOn w:val="1"/>
    <w:next w:val="1"/>
    <w:qFormat/>
    <w:uiPriority w:val="39"/>
    <w:rPr>
      <w:rFonts w:ascii="Times New Roman" w:hAnsi="Times New Roman" w:eastAsia="黑体"/>
      <w:sz w:val="24"/>
    </w:rPr>
  </w:style>
  <w:style w:type="paragraph" w:styleId="12">
    <w:name w:val="toc 2"/>
    <w:basedOn w:val="1"/>
    <w:next w:val="1"/>
    <w:qFormat/>
    <w:uiPriority w:val="0"/>
    <w:pPr>
      <w:ind w:left="0" w:leftChars="0"/>
    </w:pPr>
    <w:rPr>
      <w:rFonts w:ascii="Times New Roman" w:hAnsi="Times New Roman" w:eastAsia="黑体"/>
      <w:sz w:val="24"/>
    </w:rPr>
  </w:style>
  <w:style w:type="paragraph" w:styleId="13">
    <w:name w:val="Normal (Web)"/>
    <w:basedOn w:val="1"/>
    <w:qFormat/>
    <w:uiPriority w:val="0"/>
    <w:rPr>
      <w:sz w:val="24"/>
    </w:rPr>
  </w:style>
  <w:style w:type="paragraph" w:styleId="14">
    <w:name w:val="annotation subject"/>
    <w:basedOn w:val="6"/>
    <w:next w:val="6"/>
    <w:link w:val="30"/>
    <w:qFormat/>
    <w:uiPriority w:val="0"/>
    <w:rPr>
      <w:b/>
      <w:bCs/>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character" w:styleId="19">
    <w:name w:val="FollowedHyperlink"/>
    <w:basedOn w:val="17"/>
    <w:qFormat/>
    <w:uiPriority w:val="0"/>
    <w:rPr>
      <w:color w:val="800080"/>
      <w:u w:val="single"/>
    </w:rPr>
  </w:style>
  <w:style w:type="character" w:styleId="20">
    <w:name w:val="Hyperlink"/>
    <w:basedOn w:val="17"/>
    <w:qFormat/>
    <w:uiPriority w:val="0"/>
    <w:rPr>
      <w:color w:val="0000FF"/>
      <w:u w:val="single"/>
    </w:rPr>
  </w:style>
  <w:style w:type="character" w:styleId="21">
    <w:name w:val="annotation reference"/>
    <w:basedOn w:val="17"/>
    <w:qFormat/>
    <w:uiPriority w:val="0"/>
    <w:rPr>
      <w:sz w:val="21"/>
      <w:szCs w:val="21"/>
    </w:rPr>
  </w:style>
  <w:style w:type="character" w:customStyle="1" w:styleId="22">
    <w:name w:val="标题 1 字符"/>
    <w:basedOn w:val="17"/>
    <w:link w:val="2"/>
    <w:qFormat/>
    <w:uiPriority w:val="0"/>
    <w:rPr>
      <w:rFonts w:ascii="黑体" w:hAnsi="黑体" w:eastAsia="黑体" w:cs="黑体"/>
      <w:bCs/>
      <w:spacing w:val="6"/>
      <w:sz w:val="32"/>
      <w:szCs w:val="44"/>
    </w:rPr>
  </w:style>
  <w:style w:type="character" w:customStyle="1" w:styleId="23">
    <w:name w:val="标题 2 字符"/>
    <w:basedOn w:val="17"/>
    <w:link w:val="4"/>
    <w:qFormat/>
    <w:uiPriority w:val="0"/>
    <w:rPr>
      <w:rFonts w:ascii="楷体_GB2312" w:hAnsi="楷体_GB2312" w:eastAsia="楷体_GB2312" w:cs="楷体_GB2312"/>
      <w:bCs/>
      <w:spacing w:val="6"/>
      <w:sz w:val="32"/>
      <w:szCs w:val="40"/>
    </w:rPr>
  </w:style>
  <w:style w:type="character" w:customStyle="1" w:styleId="24">
    <w:name w:val="标题 3 字符"/>
    <w:basedOn w:val="17"/>
    <w:link w:val="5"/>
    <w:qFormat/>
    <w:uiPriority w:val="0"/>
    <w:rPr>
      <w:rFonts w:eastAsia="楷体_GB2312"/>
      <w:b/>
      <w:bCs/>
      <w:spacing w:val="6"/>
      <w:sz w:val="32"/>
      <w:szCs w:val="32"/>
    </w:rPr>
  </w:style>
  <w:style w:type="paragraph" w:customStyle="1" w:styleId="25">
    <w:name w:val="方案标题"/>
    <w:basedOn w:val="11"/>
    <w:qFormat/>
    <w:uiPriority w:val="0"/>
    <w:pPr>
      <w:widowControl/>
      <w:tabs>
        <w:tab w:val="right" w:leader="dot" w:pos="8302"/>
      </w:tabs>
      <w:spacing w:line="590" w:lineRule="exact"/>
      <w:jc w:val="center"/>
    </w:pPr>
    <w:rPr>
      <w:rFonts w:eastAsia="方正小标宋简体"/>
      <w:snapToGrid w:val="0"/>
      <w:spacing w:val="1"/>
      <w:sz w:val="44"/>
      <w:szCs w:val="44"/>
    </w:rPr>
  </w:style>
  <w:style w:type="paragraph" w:customStyle="1" w:styleId="26">
    <w:name w:val="正文表格（居中）"/>
    <w:basedOn w:val="3"/>
    <w:link w:val="45"/>
    <w:qFormat/>
    <w:uiPriority w:val="0"/>
    <w:pPr>
      <w:spacing w:line="440" w:lineRule="exact"/>
      <w:ind w:firstLine="0" w:firstLineChars="0"/>
      <w:jc w:val="center"/>
    </w:pPr>
    <w:rPr>
      <w:rFonts w:cs="仿宋_GB2312"/>
      <w:color w:val="000000"/>
      <w:spacing w:val="0"/>
      <w:sz w:val="24"/>
      <w:szCs w:val="24"/>
    </w:rPr>
  </w:style>
  <w:style w:type="character" w:customStyle="1" w:styleId="27">
    <w:name w:val="页眉 字符"/>
    <w:basedOn w:val="17"/>
    <w:link w:val="10"/>
    <w:qFormat/>
    <w:uiPriority w:val="0"/>
    <w:rPr>
      <w:rFonts w:asciiTheme="minorHAnsi" w:hAnsiTheme="minorHAnsi" w:eastAsiaTheme="minorEastAsia" w:cstheme="minorBidi"/>
      <w:kern w:val="2"/>
      <w:sz w:val="18"/>
      <w:szCs w:val="18"/>
    </w:rPr>
  </w:style>
  <w:style w:type="character" w:customStyle="1" w:styleId="28">
    <w:name w:val="页脚 字符"/>
    <w:basedOn w:val="17"/>
    <w:link w:val="9"/>
    <w:qFormat/>
    <w:uiPriority w:val="99"/>
    <w:rPr>
      <w:rFonts w:ascii="Times New Roman" w:hAnsi="Times New Roman" w:eastAsiaTheme="minorEastAsia" w:cstheme="minorBidi"/>
      <w:kern w:val="2"/>
      <w:sz w:val="18"/>
      <w:szCs w:val="18"/>
    </w:rPr>
  </w:style>
  <w:style w:type="character" w:customStyle="1" w:styleId="29">
    <w:name w:val="批注文字 字符"/>
    <w:basedOn w:val="17"/>
    <w:link w:val="6"/>
    <w:qFormat/>
    <w:uiPriority w:val="0"/>
    <w:rPr>
      <w:rFonts w:asciiTheme="minorHAnsi" w:hAnsiTheme="minorHAnsi" w:eastAsiaTheme="minorEastAsia" w:cstheme="minorBidi"/>
      <w:kern w:val="2"/>
      <w:sz w:val="21"/>
      <w:szCs w:val="24"/>
    </w:rPr>
  </w:style>
  <w:style w:type="character" w:customStyle="1" w:styleId="30">
    <w:name w:val="批注主题 字符"/>
    <w:basedOn w:val="29"/>
    <w:link w:val="14"/>
    <w:qFormat/>
    <w:uiPriority w:val="0"/>
    <w:rPr>
      <w:rFonts w:asciiTheme="minorHAnsi" w:hAnsiTheme="minorHAnsi" w:eastAsiaTheme="minorEastAsia" w:cstheme="minorBidi"/>
      <w:b/>
      <w:bCs/>
      <w:kern w:val="2"/>
      <w:sz w:val="21"/>
      <w:szCs w:val="24"/>
    </w:rPr>
  </w:style>
  <w:style w:type="character" w:customStyle="1" w:styleId="31">
    <w:name w:val="未处理的提及1"/>
    <w:basedOn w:val="17"/>
    <w:semiHidden/>
    <w:unhideWhenUsed/>
    <w:qFormat/>
    <w:uiPriority w:val="99"/>
    <w:rPr>
      <w:color w:val="605E5C"/>
      <w:shd w:val="clear" w:color="auto" w:fill="E1DFDD"/>
    </w:rPr>
  </w:style>
  <w:style w:type="paragraph" w:customStyle="1" w:styleId="32">
    <w:name w:val="修订1"/>
    <w:hidden/>
    <w:unhideWhenUsed/>
    <w:qFormat/>
    <w:uiPriority w:val="99"/>
    <w:rPr>
      <w:rFonts w:asciiTheme="minorHAnsi" w:hAnsiTheme="minorHAnsi" w:eastAsiaTheme="minorEastAsia" w:cstheme="minorBidi"/>
      <w:kern w:val="2"/>
      <w:sz w:val="21"/>
      <w:szCs w:val="24"/>
      <w:lang w:val="en-US" w:eastAsia="zh-CN" w:bidi="ar-SA"/>
    </w:rPr>
  </w:style>
  <w:style w:type="paragraph" w:customStyle="1" w:styleId="33">
    <w:name w:val="修订2"/>
    <w:hidden/>
    <w:unhideWhenUsed/>
    <w:qFormat/>
    <w:uiPriority w:val="99"/>
    <w:rPr>
      <w:rFonts w:asciiTheme="minorHAnsi" w:hAnsiTheme="minorHAnsi" w:eastAsiaTheme="minorEastAsia" w:cstheme="minorBidi"/>
      <w:kern w:val="2"/>
      <w:sz w:val="21"/>
      <w:szCs w:val="24"/>
      <w:lang w:val="en-US" w:eastAsia="zh-CN" w:bidi="ar-SA"/>
    </w:rPr>
  </w:style>
  <w:style w:type="paragraph" w:customStyle="1" w:styleId="34">
    <w:name w:val="修订3"/>
    <w:hidden/>
    <w:unhideWhenUsed/>
    <w:qFormat/>
    <w:uiPriority w:val="99"/>
    <w:rPr>
      <w:rFonts w:asciiTheme="minorHAnsi" w:hAnsiTheme="minorHAnsi" w:eastAsiaTheme="minorEastAsia" w:cstheme="minorBidi"/>
      <w:kern w:val="2"/>
      <w:sz w:val="21"/>
      <w:szCs w:val="24"/>
      <w:lang w:val="en-US" w:eastAsia="zh-CN" w:bidi="ar-SA"/>
    </w:rPr>
  </w:style>
  <w:style w:type="paragraph" w:customStyle="1" w:styleId="35">
    <w:name w:val="修订4"/>
    <w:hidden/>
    <w:unhideWhenUsed/>
    <w:qFormat/>
    <w:uiPriority w:val="99"/>
    <w:rPr>
      <w:rFonts w:asciiTheme="minorHAnsi" w:hAnsiTheme="minorHAnsi" w:eastAsiaTheme="minorEastAsia" w:cstheme="minorBidi"/>
      <w:kern w:val="2"/>
      <w:sz w:val="21"/>
      <w:szCs w:val="24"/>
      <w:lang w:val="en-US" w:eastAsia="zh-CN" w:bidi="ar-SA"/>
    </w:rPr>
  </w:style>
  <w:style w:type="character" w:customStyle="1" w:styleId="36">
    <w:name w:val="规划正文 Char"/>
    <w:link w:val="3"/>
    <w:qFormat/>
    <w:uiPriority w:val="0"/>
    <w:rPr>
      <w:rFonts w:ascii="仿宋_GB2312" w:hAnsi="仿宋_GB2312" w:eastAsia="仿宋_GB2312" w:cs="Times New Roman"/>
      <w:spacing w:val="6"/>
      <w:sz w:val="32"/>
      <w:szCs w:val="32"/>
      <w:lang w:val="en-US" w:eastAsia="zh-CN" w:bidi="ar-SA"/>
    </w:rPr>
  </w:style>
  <w:style w:type="character" w:customStyle="1" w:styleId="37">
    <w:name w:val="font71"/>
    <w:basedOn w:val="17"/>
    <w:qFormat/>
    <w:uiPriority w:val="0"/>
    <w:rPr>
      <w:rFonts w:hint="eastAsia" w:ascii="仿宋_GB2312" w:eastAsia="仿宋_GB2312" w:cs="仿宋_GB2312"/>
      <w:strike/>
      <w:color w:val="000000"/>
      <w:sz w:val="22"/>
      <w:szCs w:val="22"/>
    </w:rPr>
  </w:style>
  <w:style w:type="character" w:customStyle="1" w:styleId="38">
    <w:name w:val="font81"/>
    <w:basedOn w:val="17"/>
    <w:qFormat/>
    <w:uiPriority w:val="0"/>
    <w:rPr>
      <w:rFonts w:hint="default" w:ascii="Times New Roman" w:hAnsi="Times New Roman" w:cs="Times New Roman"/>
      <w:color w:val="000000"/>
      <w:sz w:val="22"/>
      <w:szCs w:val="22"/>
      <w:u w:val="none"/>
    </w:rPr>
  </w:style>
  <w:style w:type="character" w:customStyle="1" w:styleId="39">
    <w:name w:val="font51"/>
    <w:basedOn w:val="17"/>
    <w:qFormat/>
    <w:uiPriority w:val="0"/>
    <w:rPr>
      <w:rFonts w:hint="eastAsia" w:ascii="仿宋_GB2312" w:eastAsia="仿宋_GB2312" w:cs="仿宋_GB2312"/>
      <w:color w:val="000000"/>
      <w:sz w:val="22"/>
      <w:szCs w:val="22"/>
      <w:u w:val="none"/>
    </w:rPr>
  </w:style>
  <w:style w:type="character" w:customStyle="1" w:styleId="40">
    <w:name w:val="font121"/>
    <w:basedOn w:val="17"/>
    <w:qFormat/>
    <w:uiPriority w:val="0"/>
    <w:rPr>
      <w:rFonts w:hint="eastAsia" w:ascii="宋体" w:hAnsi="宋体" w:eastAsia="宋体" w:cs="宋体"/>
      <w:color w:val="000000"/>
      <w:sz w:val="22"/>
      <w:szCs w:val="22"/>
      <w:u w:val="none"/>
    </w:rPr>
  </w:style>
  <w:style w:type="character" w:customStyle="1" w:styleId="41">
    <w:name w:val="font101"/>
    <w:basedOn w:val="17"/>
    <w:qFormat/>
    <w:uiPriority w:val="0"/>
    <w:rPr>
      <w:rFonts w:hint="eastAsia" w:ascii="仿宋_GB2312" w:eastAsia="仿宋_GB2312" w:cs="仿宋_GB2312"/>
      <w:color w:val="000000"/>
      <w:sz w:val="22"/>
      <w:szCs w:val="22"/>
      <w:u w:val="none"/>
    </w:rPr>
  </w:style>
  <w:style w:type="character" w:customStyle="1" w:styleId="42">
    <w:name w:val="font131"/>
    <w:basedOn w:val="17"/>
    <w:qFormat/>
    <w:uiPriority w:val="0"/>
    <w:rPr>
      <w:rFonts w:hint="default" w:ascii="Times New Roman" w:hAnsi="Times New Roman" w:cs="Times New Roman"/>
      <w:color w:val="000000"/>
      <w:sz w:val="22"/>
      <w:szCs w:val="22"/>
      <w:u w:val="none"/>
    </w:rPr>
  </w:style>
  <w:style w:type="paragraph" w:customStyle="1" w:styleId="43">
    <w:name w:val="正文小标题"/>
    <w:basedOn w:val="1"/>
    <w:link w:val="44"/>
    <w:qFormat/>
    <w:uiPriority w:val="0"/>
    <w:pPr>
      <w:spacing w:line="560" w:lineRule="exact"/>
      <w:ind w:firstLine="677" w:firstLineChars="200"/>
    </w:pPr>
    <w:rPr>
      <w:rFonts w:ascii="楷体_GB2312" w:hAnsi="楷体_GB2312" w:eastAsia="楷体_GB2312" w:cs="楷体_GB2312"/>
      <w:spacing w:val="6"/>
      <w:sz w:val="32"/>
      <w:szCs w:val="32"/>
    </w:rPr>
  </w:style>
  <w:style w:type="character" w:customStyle="1" w:styleId="44">
    <w:name w:val="正文小标题 Char"/>
    <w:link w:val="43"/>
    <w:qFormat/>
    <w:uiPriority w:val="0"/>
    <w:rPr>
      <w:rFonts w:ascii="楷体_GB2312" w:hAnsi="楷体_GB2312" w:eastAsia="楷体_GB2312" w:cs="楷体_GB2312"/>
      <w:spacing w:val="6"/>
      <w:sz w:val="32"/>
      <w:szCs w:val="32"/>
    </w:rPr>
  </w:style>
  <w:style w:type="character" w:customStyle="1" w:styleId="45">
    <w:name w:val="正文表格（居中） Char"/>
    <w:link w:val="26"/>
    <w:qFormat/>
    <w:uiPriority w:val="0"/>
    <w:rPr>
      <w:rFonts w:cs="仿宋_GB2312"/>
      <w:color w:val="000000"/>
      <w:spacing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23</Pages>
  <Words>12200</Words>
  <Characters>12351</Characters>
  <Lines>1</Lines>
  <Paragraphs>1</Paragraphs>
  <TotalTime>12</TotalTime>
  <ScaleCrop>false</ScaleCrop>
  <LinksUpToDate>false</LinksUpToDate>
  <CharactersWithSpaces>12353</CharactersWithSpaces>
  <Application>WPS Office_11.8.2.10912_F1E327BC-269C-435d-A152-05C5408002CA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2025-10-22T16:38:00Z</dcterms:created>
  <dc:creator>Consultant</dc:creator>
  <cp:lastModifiedBy>lenovo</cp:lastModifiedBy>
  <cp:lastPrinted>2026-02-05T11:31:00Z</cp:lastPrinted>
  <dcterms:modified xsi:type="dcterms:W3CDTF">2026-02-04T09:50:28Z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7DA0DC282218CF04025B5C69395A1C10_43</vt:lpwstr>
  </property>
  <property fmtid="{D5CDD505-2E9C-101B-9397-08002B2CF9AE}" pid="4" name="KSOTemplateDocerSaveRecord">
    <vt:lpwstr>eyJoZGlkIjoiZDZiMjg3ZTAxNDJjODVkNmUyNTcwOWNjYzE1YTRhNDEiLCJ1c2VySWQiOiI0MzUwODE5MzcifQ==</vt:lpwstr>
  </property>
</Properties>
</file>